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5A_105/2019 vom 7. August 2019</w:t>
      </w:r>
    </w:p>
    <w:p>
      <w:r>
        <w:t>Bundesgericht, 2019-08-07, FR</w:t>
      </w:r>
    </w:p>
    <w:p>
      <w:r>
        <w:rPr>
          <w:b/>
        </w:rPr>
        <w:t xml:space="preserve">Quelle: </w:t>
      </w:r>
      <w:r>
        <w:t>https://mcp.opencaselaw.ch/entscheid/bger_5A_105_2019</w:t>
      </w:r>
    </w:p>
    <w:p>
      <w:r>
        <w:t>FR: TF 5A_105/2019 du 7 août 2019</w:t>
      </w:r>
    </w:p>
    <w:p>
      <w:r>
        <w:t>IT: TF 5A_105/2019 del 7 agosto 2019</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rPr>
          <w:b/>
        </w:rPr>
        <w:t>E. 3.1</w:t>
      </w:r>
    </w:p>
    <w:p>
      <w:r>
        <w:t>Dans son recours cantonal, le poursuivi avait formulé deux griefs. Invoquant la faillite le 19 février 2015 et la radiation du registre du commerce le 24 octobre 2016 de D.________ SA, il avait d'abord soutenu que son inscription en qualité d'actionnaire de cette société ainsi que l'endossement, respectivement le transfert, des actions nominatives de la société précitée ne pouvaient désormais plus être réalisés en raison d'une impossibilité objective qui ne lui était pas imputable ( art. 119 al. 1 CO ). Il avait ensuite prétendu que la convention d'achat du 19 octobre 2012 soumettait la vente des actions à deux conditions respectivement suspensive et résolutoire, à savoir qu'il soit lui-même revenu à meilleure fortune et qu'il ait versé le montant de 96'000 fr. dans les six mois à compter de la signature de l'accord. Comme il n'était pas revenu à meilleure fortune entre le 19 octobre 2012 et le 19 avril 2013, l'obligation de payer n'était jamais devenue exigible tandis que la convention était devenue caduque en date du 20 avril 2013.</w:t>
      </w:r>
    </w:p>
    <w:p>
      <w:r>
        <w:t>La Cour des poursuites et faillites a laissé ouverte la question de savoir si la convention du 19 octobre 2012 pouvait encore faire l'objet d'une exécution forcée alors même qu'elle portait sur les actions nominatives d'une société anonyme qui n'existait désormais plus. Elle pouvait en effet considérer que ledit contrat ne constituait de toute façon pas un titre de mainlevée. Elle a relevé à cet égard que le préambule de la convention faisait état du désir du poursuivi de racheter au créancier poursuivant 8'930'000 actions dès qu'il serait revenu à meilleure fortune. Il était vrai qu'il mentionnait aussi que, confiant dans le fait que la vente de sa maison pourrait se concrétiser rapidement ou qu'un tiers lui avancerait prochainement l'argent nécessaire, le poursuivi avait accepté de prendre l'engagement ferme et définitif de racheter ces actions. L'article deux de l'accord prévoyait toutefois que la vente des titres par le vendeur était consentie et acceptée moyennant le paiement de 96'000 fr. sous un délai maximum de 6 mois à compter de la date de la signature de la convention. Littéralement, cette clause signifiait que le vendeur n'avait accepté de vendre ses actions qu'à la condition que le prix convenu lui soit versé d'ici le 19 mars 2013 au plus tard. Elle traduisait visiblement la volonté de ce dernier de pouvoir retrouver la libre disposition de ses actions dans l'hypothèse où l'acheteur ne parviendrait pas à réunir les fonds nécessaires dans le délai convenu. Le contrat du 19 octobre 2012était ainsi assorti d'une condition suspensive qui ne s'était manifestement pas réalisée au terme fixé par les parties. A partir du 20 mars 2013, ces dernières s'étaient donc retrouvées dans la même situation que si elles ne l'avaient jamais conclu.</w:t>
      </w:r>
    </w:p>
    <w:p>
      <w:r>
        <w:rPr>
          <w:b/>
        </w:rPr>
        <w:t>E. 3.2</w:t>
      </w:r>
    </w:p>
    <w:p>
      <w:r>
        <w:t>Invoquant l'arbitraire ( art. 9 Cst. ) dans la " constatation et l'appréciation des faits ", le recourant reproche à l'autorité cantonale d'avoir interprété de façon insoutenable la " volonté réelle " des parties en retenant que la vente des actions était soumise à la condition suspensive du versement du prix par l'acquéreur dans les six mois au plus tard à compter de la signature de la convention. Il estime que ce délai ne constituait qu'une " simple facilité de paiement " au terme duquel il était " habilité à exiger et obtenir, par toute voie de droit nécessaire ", la somme prévue contractuellement. A l'appui de sa thèse, il oppose d'abord que l'interprétation de la Cour des poursuites et faillites laisse à l'acheteur une " forme d'option d'achat " qui " ne s'accommode guère " avec l'engagement " ferme et définitif " d'acquérir pris par ce dernier dans le préambule de la convention. Se prévalant du fait que le 18 octobre 2012, soit la veille de la signature de la convention, D.________ SA aurait été déclarée en faillite - " élément factuel " notoire que les juges cantonaux auraient arbitrairement ignoré -, il prétend ensuite qu'il n'a " raisonnablement " pas pu vouloir conserver, qui plus est par la seule volonté de l'acheteur, la disposition d'actions dont la valeur pourrait à l'avenir être nulle. Il allègue encore que la mention, dans le préambule, du fait que l'intimé était confiant que la vente de sa villa allait se concrétiser rapidement et/ou qu'un tiers lui avancerait prochainement l'argent nécessaire démontre que le délai de six mois imparti pour payer le prix convenu avait pour but de laisser à l'intéressé le temps nécessaire à la réunion des fonds. Il affirme enfin que, selon le Larousse, le terme " moyennant " signifie " grâce à quelque chose " ou " au moyen de quelque chose ", et non " à la condition que ".</w:t>
      </w:r>
    </w:p>
    <w:p>
      <w:r>
        <w:rPr>
          <w:b/>
        </w:rPr>
        <w:t>E. 3.3.1</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132 III 140 consid. 4.1).</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 ATF 100 III 48 consid. 3) et ne fonde pas l'exception de chose jugée (res iudicata) quant à l'existence de la créance ( ATF 136 III 583 consid. 2.3). Plus particulièrement, la décision du juge de la mainlevée provisoire ne prive pas les parties du droit de soumettre à nouveau la question litigieuse au juge ordinaire ( art. 79 et 83 al. 2 LP ; ATF 136 III 528 consid. 3.2; arrêts 5A_434/2015 du 21 août 2015 consid. 6.1.1, publié in SJ 2016 I 49; 5A_89/2019 du 1er mai 2019 consid. 5.1.2).</w:t>
      </w:r>
    </w:p>
    <w:p>
      <w:r>
        <w:rPr>
          <w:b/>
        </w:rPr>
        <w:t>E. 3.3.2</w:t>
      </w:r>
    </w:p>
    <w:p>
      <w:r>
        <w:t>Lorsqu'il procède à l'interprétation du titre, le juge de la mainlevée provisoire ne peut prendre en compte que les éléments intrinsèques à ce titre, à l'exclusion des éléments extrinsèques qui échappent à son pouvoir d'examen ( ATF 145 III 20 consid. 4.3.3; arrêts 5A_89/2019 du 1er mai 2019 consid. 5.1.3; 5A_867/2018 du 4 mars 2019 consid. 4.1.3; 5A_648/2018 du 25 février 2019 consid. 3.2.1 non destiné à la publication,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5A_89/2019 du 1er mai 2019 consid. 5.1.3; 5A_735/2012 du 17 avril 2013 consid. 2 et la référence; STAEHELIN, in Basler Kommentar SchKG, 2e éd. 2010, n° 21 ad art. 82 LP ).</w:t>
      </w:r>
    </w:p>
    <w:p>
      <w:r>
        <w:rPr>
          <w:b/>
        </w:rPr>
        <w:t>E. 3.3.3</w:t>
      </w:r>
    </w:p>
    <w:p>
      <w:r>
        <w:t>Constitue une reconnaissance de dette au sens de l' art. 82 al. 1 LP , en particulier l'acte authentique ou sous seing privé signé par le poursuivi - ou son représentant ( ATF 132 III 140 consid. 4.1.1 et les arrêts cités) -, d'où ressort sa volonté de payer au poursuivant, sans réserve ni condition, une somme d'argent déterminée, ou aisément déterminable, et exigible ( ATF 145 III 20 consid. 4.1.1; 139 III 297 consid. 2.3.1 et les arrêts cités).</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Plus particulièrement, un contrat de vente ordinaire constitue un titre de mainlevée provisoire pour le montant du prix échu pour autant que la chose vendue ait été livrée ou consignée lorsque le prix était payable d'avance ou au comptant ( ATF 145 III 20 consid. 4.1.1 et les références).</w:t>
      </w:r>
    </w:p>
    <w:p>
      <w:r>
        <w:t>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 art. 82 LP (arrêts 5A_303/2013 du 24 septembre 2013 consid. 4.1; 5A_83/2011 du 2 septembre 2011 consid. 5.1, publié in SJ 2012 I p. 149).</w:t>
      </w:r>
    </w:p>
    <w:p>
      <w:r>
        <w:rPr>
          <w:b/>
        </w:rPr>
        <w:t>E. 3.4</w:t>
      </w:r>
    </w:p>
    <w:p>
      <w:r>
        <w:t>En l'espèce, il résulte du préambule de la convention du 19 octobre 2012 que l'intimé a " accept[é] de prendre l'engagement ferme et définitif de racheter 8'930'000 actions " au recourant (chiffre 4). Il en ressort en outre que cet engagement faisait suite à une cession au recourant - intervenue le même jour - de 8'930'000 actions (chiffre 2) et supposait que l'intimé soit revenu à meilleur fortune (chiffre 3). Cette dernière circonstance paraissait toutefois devoir se réaliser dans un temps proche, l'intimé étant " confiant " que la vente de sa maison allait se concrétiser " rapidement " et/ou qu'un tiers lui avancerait " prochainement " l'argent nécessaire (chiffre 4). Dans un tel contexte, l'article 2 selon lequel la vente était consentie et acceptée par le vendeur moyennant le paiement de 96'000 fr. " sous un délai maximum de 6 mois à compter de la date de la signature " est équivoque. Il peut d'une part être interprété en ce sens que le recourant a entendu soumettre l'offre d'achat exprimée par l'intimé dans le préambule à un délai maximum au-delà duquel il n'accepterait plus de vendre. Il peut d'autre part signifier qu'il a voulu accorder à ce dernier - au vu de la confiance affichée quant au retour à meilleure fortune - le délai utile à la réunion des fonds nécessaires à l'acquisition. Aucun des éléments de la convention ne permet cependant de dégager une interprétation plutôt qu'une autre. Le recourant ne saurait en particulier rien tirer de la définition de la préposition " moyennant ", laquelle peut tout aussi bien vouloir dire " au moyen de... ", " par le moyen de... " que " à la condition de... " (cf. Le Grand Robert électronique). Le fait que la société D.________ SA aurait été déclarée en faillite le 18 octobre 2012 déjà ne lui est par ailleurs d'aucun secours. En se prévalant d'une circonstance qui a entouré la signature de l'accord pour asseoir son interprétation de la clause litigieuse et, plus singulièrement, pour établir qu'il n'a pu vouloir se priver de vendre des actions qui pourraient perdre leur valeur, il se réfère à un élément extrinsèque à l'acte dont le juge de la mainlevée n'a pas à tenir compte (cf. supra, consid. 3.3.2). Le sens et l'interprétation objective de la convention étant en l'espèce source de doutes et ne permettant pas d'établir clairement la volonté du poursuivi, la mainlevée provisoire ne peut être que refusée (cf. supra, consid. 3.3.2).</w:t>
      </w:r>
    </w:p>
    <w:p>
      <w:r>
        <w:t>Cela étant, il y a lieu de confirmer l'arrêt cantonal par substitution de motifs (cf. supra, consid. 2.1).</w:t>
      </w:r>
    </w:p>
    <w:p>
      <w:r>
        <w:rPr>
          <w:b/>
        </w:rPr>
        <w:t>E. 4</w:t>
      </w:r>
    </w:p>
    <w:p>
      <w:r>
        <w:t>Vu ce qui précède, le recours doit être rejeté. Le recourant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