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5A_1058/2019 vom 4. Mai 2020</w:t>
      </w:r>
    </w:p>
    <w:p>
      <w:r>
        <w:t>Bundesgericht, 2020-05-04, FR</w:t>
      </w:r>
    </w:p>
    <w:p>
      <w:r>
        <w:rPr>
          <w:b/>
        </w:rPr>
        <w:t xml:space="preserve">Quelle: </w:t>
      </w:r>
      <w:r>
        <w:t>https://mcp.opencaselaw.ch/entscheid/bger_5A_1058_2019</w:t>
      </w:r>
    </w:p>
    <w:p>
      <w:r>
        <w:t>FR: TF 5A_1058/2019 du 4 mai 2020</w:t>
      </w:r>
    </w:p>
    <w:p>
      <w:r>
        <w:t>IT: TF 5A_1058/2019 del 4 maggio 2020</w:t>
      </w:r>
    </w:p>
    <w:p>
      <w:pPr>
        <w:pStyle w:val="Heading2"/>
      </w:pPr>
      <w:r>
        <w:t>Erwägungen</w:t>
      </w:r>
    </w:p>
    <w:p>
      <w:r>
        <w:rPr>
          <w:b/>
        </w:rPr>
        <w:t>E. 1.1</w:t>
      </w:r>
    </w:p>
    <w:p>
      <w:r>
        <w:t>La décision d'irrecevabilité de l'autorité cantonale participe de la nature de la décision rendue en première instance (cf. ATF 142 III 653 consid. 1.1 et la référence; arrêt 4A_375/2017 du 28 août 2017 consid. 2.2). Celle-ci portant sur l'administration des preuves et ne conduisant ainsi pas à la clôture définitive de l'instance, la décision attaquée est une décision incidente au sens de l' art. 93 al. 1 LTF (cf. ATF 141 III 395 consid. 2.2; 137 III 380 consid. 1.1; arrêt 4A_559/2017 du 20 novembre 2017 consid. 2).</w:t>
      </w:r>
    </w:p>
    <w:p>
      <w:r>
        <w:rPr>
          <w:b/>
        </w:rPr>
        <w:t>E. 1.2</w:t>
      </w:r>
    </w:p>
    <w:p>
      <w:r>
        <w:t>L'éventuelle admission du recours ne pourrait manifestement pas conduire immédiatement à une décision finale permettant d'éviter une procédure probatoire longue et coûteuse ( art. 93 al. 1 let. b LTF ). Le recours n'est dès lors recevable que dans la mesure où la décision incidente occasionne un préjudice irréparable à la partie recourante ( art. 93 al. 1 let. a LTF ). Lorsqu'il n'est pas évident que le recourant soit exposé à un préjudice irréparable, il lui incombe d'expliquer dans son recours en quoi tel serait le cas et de démontrer ainsi que les conditions de recevabilité de son recours sont réunies ( ATF 141 III 80 consid. 1.2; 137 III 522 consid. 1.3). La condition du préjudice irréparable s'apprécie par rapport à la décision de première instance, et non par rapport à la décision d'irrecevabilité du recours rendue par le tribunal supérieur ( ATF 141 III 80 consid. 1.2). Si la question qui a fait l'objet de la décision incidente de première instance peut être soulevée à l'appui d'un recours contre la décision finale, il n'y a pas de préjudice irréparable ( ATF 141 III 80 consid. 1.2; 134 III 426 consid. 1.3.1; arrêts 4A_416/2017 du 6 octobre 2017 consid. 4.1; 4A_248/2014 du 27 juin 2014 consid. 1.2.3 et les références).</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et les références; 134 III 188 consid. 2.3). Dans des cas exceptionnels, 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5A_964/2017 du 6 mars 2018 consid. 1; 4A_416/2017 précité consid. 4.1; 4A_108/2017 du 30 mai 2017 consid. 1.2; 4A_425/2014 du 11 septembre 2014 consid. 1.3.2 et les références).</w:t>
      </w:r>
    </w:p>
    <w:p>
      <w:r>
        <w:rPr>
          <w:b/>
        </w:rPr>
        <w:t>E. 1.3</w:t>
      </w:r>
    </w:p>
    <w:p>
      <w:r>
        <w:t>En l'occurrence, la recourante n'a pas qualifié la décision qu'elle attaque ni, alors que cela n'était pas d'emblée évident, indiqué en quoi le rejet de sa requête de nouvelle expertise l'exposerait à un préjudice irréparable au sens de l' art. 93 al. 1 let. a LTF . Elle ne pouvait (implicitement) partir du principe que l'existence d'un tel préjudice est donnée lorsqu'une décision cantonale déclare irrecevable le recours dirigé contre une décision relative à une mesure probatoire. La jurisprudence qui l'admettait a en effet été abandonnée depuis longtemps (arrêt 4A_559/2017 précité consid. 3.2.1 et les références; cf. ég.</w:t>
      </w:r>
    </w:p>
    <w:p>
      <w:r>
        <w:t>supra consid. 1.2). Le recours doit en conséquence être déclaré irrecevable.</w:t>
      </w:r>
    </w:p>
    <w:p>
      <w:r>
        <w:rPr>
          <w:b/>
        </w:rPr>
        <w:t>E. 2</w:t>
      </w:r>
    </w:p>
    <w:p>
      <w:r>
        <w:t>En définitive, le recours est irrecevable faute de remplir les conditions de l' art. 93 al. 1 LTF . Les frais judiciaires sont mis à la charge de la recourante, qui succombe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