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5A_1053/2025 vom 18. Dezember 2025</w:t>
      </w:r>
    </w:p>
    <w:p>
      <w:r>
        <w:t>Bundesgericht, 2025-12-18, DE</w:t>
      </w:r>
    </w:p>
    <w:p>
      <w:r>
        <w:rPr>
          <w:b/>
        </w:rPr>
        <w:t xml:space="preserve">Quelle: </w:t>
      </w:r>
      <w:r>
        <w:t>https://mcp.opencaselaw.ch/entscheid/bger_5A_1053_2025</w:t>
      </w:r>
    </w:p>
    <w:p>
      <w:r>
        <w:t>FR: TF 5A_1053/2025 du 18 décembre 2025</w:t>
      </w:r>
    </w:p>
    <w:p>
      <w:r>
        <w:t>IT: TF 5A_1053/2025 del 18 dicembre 2025</w:t>
      </w:r>
    </w:p>
    <w:p>
      <w:pPr>
        <w:pStyle w:val="Heading2"/>
      </w:pPr>
      <w:r>
        <w:t>Erwägungen</w:t>
      </w:r>
    </w:p>
    <w:p>
      <w:r>
        <w:rPr>
          <w:b/>
        </w:rPr>
        <w:t>E. 1</w:t>
      </w:r>
    </w:p>
    <w:p>
      <w:r>
        <w:t>Am 22. August 2025 erliess das Betreibungsamt Appenzeller Mittelland gegenüber dem Beschwerdeführer die Pfändungsankündigung (2. Vorladung) in der Betreibung Nr. xxx. Gläubigerin ist die B.________ AG.</w:t>
      </w:r>
    </w:p>
    <w:p>
      <w:r>
        <w:t>Gegen die Pfändungsankündigung erhob der Beschwerdeführer am 2. September 2025 (Postaufgabe) Beschwerde beim Obergericht Appenzell Ausserrhoden. Mit Verfügung vom 11. November 2025 trat das Obergericht auf die Beschwerde nicht ein.</w:t>
      </w:r>
    </w:p>
    <w:p>
      <w:r>
        <w:t>Dagegen hat der Beschwerdeführer am 4. Dezember 2025 (Postaufgabe) Beschwerde an das Bundesgericht erhoben. Mit Verfügung vom 5. Dezember 2025 hat das Bundesgericht das Gesuch um aufschiebende Wirkung abgewiesen. Das Bundesgericht hat die Akten beigezogen.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3</w:t>
      </w:r>
    </w:p>
    <w:p>
      <w:r>
        <w:t>Das Obergericht hat erwogen, der Beschwerdeführer zweifle die Existenz der Forderung an. Dabei handle es sich um eine materiellrechtliche Frage, die nicht im Beschwerdeverfahren geprüft werden könne. Formelle Mängel seien nicht ersichtlich und würden durch den Beschwerdeführer nicht ausreichend dargelegt.</w:t>
      </w:r>
    </w:p>
    <w:p>
      <w:r>
        <w:rPr>
          <w:b/>
        </w:rPr>
        <w:t>E. 4</w:t>
      </w:r>
    </w:p>
    <w:p>
      <w:r>
        <w:t>Der Beschwerdeführer setzt sich mit diesen Erwägungen nicht auseinander. Stattdessen bestreitet er sinngemäss erneut die betriebene Forderung, wobei er allerdings die C.________ als Gläubigerin bezeichnet und nicht die B.________ AG. Die von ihm geltend gemachten Schadenersatzansprüche sind nicht Gegenstand des vorliegenden Verfahrens, ebenso wenig wie angebliche weitere "Betreibungs- und Insolvenzanträge" der C.________ (gemeint wohl: B.________ AG). Soweit er von der C.________ (gemeint wohl: B.________ AG) die Vorlage von Beweismitteln für ihre Forderung verlangt, hat er sich an das Betreibungsamt zu wenden ( Art. 73 SchKG ).</w:t>
      </w:r>
    </w:p>
    <w:p>
      <w:r>
        <w:t>Die Beschwerde enthält offensichtlich keine hinreichende Begründung. Der Abteilungspräsident tritt auf sie im vereinfachten Verfahren nicht ein ( Art. 108 Abs. 1 lit. b BGG ).</w:t>
      </w:r>
    </w:p>
    <w:p>
      <w:r>
        <w:rPr>
          <w:b/>
        </w:rPr>
        <w:t>E. 5</w:t>
      </w:r>
    </w:p>
    <w:p>
      <w:r>
        <w:t>Es rechtfertigt sich ausnahmsweise, auf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