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5A_1052/2020 vom 20. Juli 2021</w:t>
      </w:r>
    </w:p>
    <w:p>
      <w:r>
        <w:t>Bundesgericht, 2021-07-20, DE</w:t>
      </w:r>
    </w:p>
    <w:p>
      <w:r>
        <w:rPr>
          <w:b/>
        </w:rPr>
        <w:t xml:space="preserve">Quelle: </w:t>
      </w:r>
      <w:r>
        <w:t>https://mcp.opencaselaw.ch/entscheid/bger_5A_1052_2020</w:t>
      </w:r>
    </w:p>
    <w:p>
      <w:r>
        <w:t>FR: TF 5A_1052/2020 du 20 juillet 2021</w:t>
      </w:r>
    </w:p>
    <w:p>
      <w:r>
        <w:t>IT: TF 5A_1052/2020 del 20 luglio 2021</w:t>
      </w:r>
    </w:p>
    <w:p>
      <w:pPr>
        <w:pStyle w:val="Heading2"/>
      </w:pPr>
      <w:r>
        <w:t>Erwägungen</w:t>
      </w:r>
    </w:p>
    <w:p>
      <w:r>
        <w:rPr>
          <w:b/>
        </w:rPr>
        <w:t>E. 1.1</w:t>
      </w:r>
    </w:p>
    <w:p>
      <w:r>
        <w:t>Angefochten ist der Entscheid eines oberen kantonalen Gerichts, das als Rechtsmittelinstanz über eine Rechtsöffnung in der Betreibung für eine Forderung in der Höhe von Fr. 345'188.-- befunden hat. Dagegen steht die Beschwerde in Zivilsachen zur Verfügung ( Art. 72 Abs. 2 lit. a, Art. 74 Abs. 1 lit. b und Art. 75 BGG ). Die Beschwerdeführerin ist als Betreibungsschuldnerin vom angefochtenen Entscheid besonders betroffen und daher zur Beschwerde berechtigt ( Art. 76 Abs. 1 lit. b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(BGE 106 Abs. 2 BGG; BGE 142 III 364 E. 2.4).</w:t>
      </w:r>
    </w:p>
    <w:p>
      <w:r>
        <w:rPr>
          <w:b/>
        </w:rPr>
        <w:t>E. 2.1</w:t>
      </w:r>
    </w:p>
    <w:p>
      <w:r>
        <w:t>Beruht die Forderung auf einem vollstreckbaren gerichtlichen Entscheid, so kann der Gläubiger beim Richter die Aufhebung des Rechtsvorschlags (definitive Rechtsöffnung) verlangen ( Art. 80 Abs. 1 SchKG ). Gerichtlichen Entscheiden gleichgestellt sind gerichtliche Vergleiche und gerichtliche Schuldanerkennungen ( Art. 80 Abs. 2 Ziff. 1 SchKG ). Damit ein gerichtlicher Vergleich als definitiver Rechtsöffnungstitel dienen kann, muss er, nicht anders als ein Urteil, den Schuldner eindeutig und unzweifelhaft zur Zahlung einer bestimmten Geldsumme verpflichten ( BGE 143 III 564 E. 4.4.4; Urteil 5A_444/2020 vom 28. August 2020 E. 6.2.3; BETTLER, Der gerichtliche Vergleich nach Art. 241 ZPO , AJP 2018 S. 1486 ff., 1497).</w:t>
      </w:r>
    </w:p>
    <w:p>
      <w:r>
        <w:rPr>
          <w:b/>
        </w:rPr>
        <w:t>E. 2.2</w:t>
      </w:r>
    </w:p>
    <w:p>
      <w:r>
        <w:t>Als Rechtsöffnungstitel diente vorliegend ein von den Parteien am 11. November 2015 vor dem Kantonsgericht St. Gallen abgeschlossener gerichtlicher Vergleich, mit welchem die Parteien erbrechtliche Ansprüche geregelt haben. Die hier interessierende Ziffer 7 des Vergleichs hat folgenden Wortlaut:</w:t>
      </w:r>
    </w:p>
    <w:p>
      <w:r>
        <w:t>" (...) A.________ wird aus dem Verkaufserlös den B.________ zustehenden erbrechtlichen Pflichtteil (1/6) bezahlen. Die Parteien einigen sich darauf, dass dieser Pflichtteil bzgl. der Liegenschaft C.________ mindestens Fr. 39'819.-- und bezüglich der D.________ mindestens Fr. 305'369.-- beträgt. Sollten die Liegenschaften nicht bis Ende 2018 verkauft worden sein, erhält B.________ innert 3 Jahren ab dem Zeitpunkt des Eintritts der grundbuchrechtlichen Veräusserungsfähigkeit, spätestens am 31.12.2019, unabhängig von einem späteren Verkaufserlös, vorab diese Mindestbeträge als Pflichtteil. Im Fall des späteren Verkaufs wird A.________ den allfälligen Fehlbetrag zwischen dem jeweiligen bezahlten Mindestbetrag und dem 1/6 aus dem Verkaufserlös unverzüglich nach Erhalt des Verkaufserlöses nachzahlen."</w:t>
      </w:r>
    </w:p>
    <w:p>
      <w:r>
        <w:rPr>
          <w:b/>
        </w:rPr>
        <w:t>E. 2.3</w:t>
      </w:r>
    </w:p>
    <w:p>
      <w:r>
        <w:t>Die Beschwerdeführerin macht geltend, eine wörtliche Auslegung des Vergleichs lasse mit Bezug auf die Fälligkeit der Verpflichtung zwei unterschiedliche Interpretationsmöglichkeiten zu. Die vom Beschwerdegegner und der Vorinstanz anvisierte Auslegung mit der absoluten Frist "spätestens am 31.12.2019" stehe in offenbarem Widerspruch zum Satz, dass der erbrechtliche Pflichtteil (1/6) dem Beschwerdegegner aus dem Verkaufserlös zu bezahlen sei. Schon daraus werde klar, dass eine Zahlung bloss aus einem allfälligen Verkaufserlös getätigt werden könne. Insgesamt würden mehr Umstände darauf hinweisen, dass die Parteien mit den fraglichen Fristbestimmungen der Ziffer 7 des Vergleichs eine relative Frist von drei Jahren gemeint hätten, die der Beschwerdeführerin genügend Zeit gegeben hätte, die Liegenschaften zu verkaufen und den dem Beschwerdegegner zu bezahlenden Pflichtteil überhaupt erst zu erhalten. Demgegenüber würden weniger Anhaltspunkte für das Vorliegen einer absoluten Frist sprechen. Jedenfalls habe sich die Vorinstanz die Kognition eines Sachrichters angemasst, obwohl sie lediglich zu beurteilen gehabt hätte, ob der Zeitpunkt der Erfüllung aus dem vorgelegten Rechtsöffnungstitel unzweifelhaft hervorgeht.</w:t>
      </w:r>
    </w:p>
    <w:p>
      <w:r>
        <w:rPr>
          <w:b/>
        </w:rPr>
        <w:t>E. 2.4</w:t>
      </w:r>
    </w:p>
    <w:p>
      <w:r>
        <w:t>Der Beschwerde ist kein Erfolg beschieden. Die Vereinbarung ist simpel und klar. Versprochen wurde im Vergleich eine bezifferte Geldleistung in bestimmter Währung per bestimmtem Datum. Konkret wurde für die Mindestzahlung im Vergleich eine Frist bis (spätestens) 31. Dezember 2019 vereinbart, die ganz ausdrücklich für den nun eingetretenen Fall gilt, dass die Liegenschaften zu diesem Zeitpunkt noch nicht verkauft worden sind. Selbst wenn - wie die Beschwerdeführerin behauptet - die grundbuchrechtliche Veräusserungsfähigkeit betreffend die beiden in Österreich gelegenen Liegenschaften erst im Jahr 2020 eingetreten sein sollte, würde dieser Umstand den Fälligkeitszeitpunkt offenkundig nicht noch weiter nach hinten verschieben, womit der Vorinstanz diesbezüglich auch keine unvollständige Feststellung des Sachverhalts vorgeworfen werden kann. Abwegig erscheint auch die in diesem Zusammenhang aufgestellte Behauptung der Beschwerdeführerin, die Bestimmung des 31. Dezember 2019 sei bloss für den Fall gedacht gewesen, dass ein Verkauf der Liegenschaften noch im Jahr 2015 hätte realisiert werden können. Dass die Parteien sogar für den Fall eines zeitnahen Verkaufs der Liegenschaften bezüglich des dem Beschwerdegegner zustehenden Anspruchs einen (mehrjährigen) Aufschub der Fälligkeit vereinbart hätten, geht aus dem Vergleich nicht ansatzweise hervor. Entgegen den Vorbringen der Beschwerdeführerin wurde der Vergleichstext nach dem Gesagten sorgfältig und widerspruchsfrei formuliert. Folglich ist auch der angefochtene Entscheid (mit dem die Erteilung der definitiven Rechtsöffnung bestätigt wurde) nicht zu beanstanden.</w:t>
      </w:r>
    </w:p>
    <w:p>
      <w:r>
        <w:rPr>
          <w:b/>
        </w:rPr>
        <w:t>E. 3</w:t>
      </w:r>
    </w:p>
    <w:p>
      <w:r>
        <w:t>Dem Ausgang des Verfahrens entsprechend wird die Beschwerdeführerin kostenpflichtig ( Art. 66 Abs. 1 BGG ). Der Beschwerdegegner, der sich lediglich zum Gesuch um aufschiebende Wirkung zu äussern hatte, mit seinen dort gestellten Anträgen aber unterlag und dem Bundesgericht seine Beschwerdeantwort unaufgefordert einreichte, hat keinen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