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1052/2019 vom 6. Januar 2020</w:t>
      </w:r>
    </w:p>
    <w:p>
      <w:r>
        <w:t>Bundesgericht, 2020-01-06, DE</w:t>
      </w:r>
    </w:p>
    <w:p>
      <w:r>
        <w:rPr>
          <w:b/>
        </w:rPr>
        <w:t xml:space="preserve">Quelle: </w:t>
      </w:r>
      <w:r>
        <w:t>https://mcp.opencaselaw.ch/entscheid/bger_5A_1052_2019</w:t>
      </w:r>
    </w:p>
    <w:p>
      <w:r>
        <w:t>FR: TF 5A 1052/2019 du 6 janvier 2020</w:t>
      </w:r>
    </w:p>
    <w:p>
      <w:r>
        <w:t>IT: TF 5A 1052/2019 del 6 gennaio 2020</w:t>
      </w:r>
    </w:p>
    <w:p>
      <w:pPr>
        <w:pStyle w:val="Heading2"/>
      </w:pPr>
      <w:r>
        <w:t>Regeste</w:t>
      </w:r>
    </w:p>
    <w:p>
      <w:r>
        <w:t>Wiederherstellung der Rechtsvorschlagsfrist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Die Aufsichtsbehörde hat festgehalten, es könne nicht eruiert werden, wann der Zahlungsbefehl dem Beschwerdeführer im Gefängnis tatsächlich ausgehändigt worden sei. Indes könne diese Frage insofern offen gelassen werden, als klarerweise die abweisende Verfügung des Betreibungsamtes vom 9. Oktober 2019 dem Schuldner am 11. Oktober 2019 im Untersuchungsgefängnis U.________ zugestellt worden sei, er jedoch erst am 23. Oktober 2019 und damit nach Ablauf der zehntägigen Beschwerdefrist seine Beschwerde eingereicht habe.</w:t>
      </w:r>
    </w:p>
    <w:p>
      <w:r>
        <w:rPr>
          <w:b/>
        </w:rPr>
        <w:t>E. 3</w:t>
      </w:r>
    </w:p>
    <w:p>
      <w:r>
        <w:t>Die beim Bundesgericht eingereichte Beschwerde enthält kein Rechtsbegehren und der Beschwerdeführer setzt sich mit der Begründung des angefochtenen Entscheides auch nicht auseinander, sondern wiederholt seinen Standpunkt, wonach er am 24. September 2019 eine Operation gehabt habe und deshalb sein Fall allgemein untersucht werden müsse. Die Umstände rund um die Zustellung des Zahlungsbefehles waren aber im angefochtenen Entscheid gar nicht entscheidtragend; vielmehr wurde der Nichteintretensentscheid mit der abgelaufenen Beschwerdefrist begründet.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