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5A_1051/2017 vom 29. Dezember 2017</w:t>
      </w:r>
    </w:p>
    <w:p>
      <w:r>
        <w:t>Bundesgericht, 2017-12-29, DE</w:t>
      </w:r>
    </w:p>
    <w:p>
      <w:r>
        <w:rPr>
          <w:b/>
        </w:rPr>
        <w:t xml:space="preserve">Quelle: </w:t>
      </w:r>
      <w:r>
        <w:t>https://mcp.opencaselaw.ch/entscheid/bger_5A_1051_2017</w:t>
      </w:r>
    </w:p>
    <w:p>
      <w:r>
        <w:t>FR: TF 5A_1051/2017 du 29 décembre 2017</w:t>
      </w:r>
    </w:p>
    <w:p>
      <w:r>
        <w:t>IT: TF 5A_1051/2017 del 29 dicembre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Im Verbund können die beiden Eingaben als Beschwerde gegen die verfügte Zwangsmedikation angesehen werden. Allerdings kann das Bundesgericht einzig Beschwerden gegen kantonal letztinstanzliche Entscheide behandeln ( Art. 75 Abs. 1 BGG ). Das Bundesgericht ist mit anderen Worten zur Behandlung einer direkt gegen die anordnende Verfügung gerichteten Beschwerde funktionell unzuständig; gegen die Verfügung über die Zwangsbehandlung ist zuerst der auf der Rechtsmittelbelehrung bezeichnete Rechtsweg zu beschreiten und Beschwerde beim Bezirksgericht Willisau zu erheben.</w:t>
      </w:r>
    </w:p>
    <w:p>
      <w:r>
        <w:rPr>
          <w:b/>
        </w:rPr>
        <w:t>E. 2</w:t>
      </w:r>
    </w:p>
    <w:p>
      <w:r>
        <w:t>Auf offensichtlich nicht zulässige Beschwerden ist mit Präsidialentscheid nicht einzutreten ( Art. 108 Abs. 1 lit. a BGG ).</w:t>
      </w:r>
    </w:p>
    <w:p>
      <w:r>
        <w:rPr>
          <w:b/>
        </w:rPr>
        <w:t>E. 3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