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5A_1050/2020 vom 23. Februar 2021</w:t>
      </w:r>
    </w:p>
    <w:p>
      <w:r>
        <w:t>Bundesgericht, 2021-02-23, DE</w:t>
      </w:r>
    </w:p>
    <w:p>
      <w:r>
        <w:rPr>
          <w:b/>
        </w:rPr>
        <w:t xml:space="preserve">Quelle: </w:t>
      </w:r>
      <w:r>
        <w:t>https://mcp.opencaselaw.ch/entscheid/bger_5A_1050_2020</w:t>
      </w:r>
    </w:p>
    <w:p>
      <w:r>
        <w:t>FR: TF 5A_1050/2020 du 23 février 2021</w:t>
      </w:r>
    </w:p>
    <w:p>
      <w:r>
        <w:t>IT: TF 5A_1050/2020 del 23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5A_1050/2020</w:t>
      </w:r>
    </w:p>
    <w:p>
      <w:r>
        <w:t>Urteil vom 23. Februar 2021</w:t>
      </w:r>
    </w:p>
    <w:p>
      <w:r>
        <w:t>II. zivilrechtliche Abteilung</w:t>
      </w:r>
    </w:p>
    <w:p>
      <w:r>
        <w:t>Besetzung</w:t>
      </w:r>
    </w:p>
    <w:p>
      <w:r>
        <w:t>Bundesrichter Herrmann, Präsident,</w:t>
      </w:r>
    </w:p>
    <w:p>
      <w:r>
        <w:t>Gerichtsschreiber Möckli.</w:t>
      </w:r>
    </w:p>
    <w:p>
      <w:r>
        <w:t>Verfahrensbeteiligte</w:t>
      </w:r>
    </w:p>
    <w:p>
      <w:r>
        <w:t>Stiftung A.________,</w:t>
      </w:r>
    </w:p>
    <w:p>
      <w:r>
        <w:t>Beschwerdeführerin,</w:t>
      </w:r>
    </w:p>
    <w:p>
      <w:r>
        <w:t>gegen</w:t>
      </w:r>
    </w:p>
    <w:p>
      <w:r>
        <w:t>Eidgenössisches Departement des Innern (EDI), Generalsekretariat GS-EDI, Eidgenössische Stiftungsaufsicht, Inselgasse 1, 3003 Bern.</w:t>
      </w:r>
    </w:p>
    <w:p>
      <w:r>
        <w:t>Gegenstand</w:t>
      </w:r>
    </w:p>
    <w:p>
      <w:r>
        <w:t>Aufsichtsmassnahmen,</w:t>
      </w:r>
    </w:p>
    <w:p>
      <w:r>
        <w:t>Beschwerde gegen das Urteil des Bundesverwaltungsgerichts, Abteilung II, vom 29. Oktober 2020 (B-5915/2019).</w:t>
      </w:r>
    </w:p>
    <w:p>
      <w:r>
        <w:t>Nach Einsicht</w:t>
      </w:r>
    </w:p>
    <w:p>
      <w:r>
        <w:t>in das Urteil des Bundesverwaltungsgerichtes vom 29. Oktober 2020, mit welchem die Beschwerde der Stiftung A.________ gegen die am 30. September 2019 durch die Eidgenössische Stiftungsaufsicht verfügten Aufsichtsmassnahmen abgewiesen wurde,</w:t>
      </w:r>
    </w:p>
    <w:p>
      <w:r>
        <w:t>in die hiergegen beim Bundesgericht eingereichte Beschwerde der Stiftung A.________ vom 14. Dezember 2020,</w:t>
      </w:r>
    </w:p>
    <w:p>
      <w:r>
        <w:t>in die Kostenvorschussverfügung vom 17. Dezember 2020,</w:t>
      </w:r>
    </w:p>
    <w:p>
      <w:r>
        <w:t>in Erwägung,</w:t>
      </w:r>
    </w:p>
    <w:p>
      <w:r>
        <w:t>dass der Beschwerdeführerin am 25. Januar 2021 ein Nachfrist bis zum 5. Februar 2021 zur Leistung des Kostenvorschusses angesetzt und darin die Nichteintretensfolge bei ausbleibender Leistung angedroht wurde,</w:t>
      </w:r>
    </w:p>
    <w:p>
      <w:r>
        <w:t>dass die Nachfristverfügung der Beschwerdeführerin am 26. Januar 2021 mit Abholungseinladung avisiert, jedoch innerhalb der 7-tägigen Abholfrist nicht abgeholt und die Sendung an das Bundesgericht retourniert wurde,</w:t>
      </w:r>
    </w:p>
    <w:p>
      <w:r>
        <w:t>dass als Folge der Kostenvorschuss nicht geleistet wurde, weshalb androhungsgemäss gestützt auf Art. 62 Abs. 3 BGG im Verfahren nach Art. 108 Abs. 1 lit. a BGG auf die Beschwerde nicht einzutreten ist,</w:t>
      </w:r>
    </w:p>
    <w:p>
      <w:r>
        <w:t>dass die Gerichtskosten der Beschwerdeführerin aufzuerlegen sind ( Art. 66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Dieses Urteil wird der Beschwerdeführerin, dem Eidgenössischen Departement des Innern (EDI) und dem Bundesverwaltungsgericht, Abteilung II, schriftlich mitgeteilt.</w:t>
      </w:r>
    </w:p>
    <w:p>
      <w:r>
        <w:t>Lausanne, 23. Februar 2021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Herrmann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