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5A_104/2023 vom 2. Juni 2023</w:t>
      </w:r>
    </w:p>
    <w:p>
      <w:r>
        <w:t>Bundesgericht, 2023-06-02, FR</w:t>
      </w:r>
    </w:p>
    <w:p>
      <w:r>
        <w:rPr>
          <w:b/>
        </w:rPr>
        <w:t xml:space="preserve">Quelle: </w:t>
      </w:r>
      <w:r>
        <w:t>https://mcp.opencaselaw.ch/entscheid/bger_5A_104_2023</w:t>
      </w:r>
    </w:p>
    <w:p>
      <w:r>
        <w:t>FR: TF 5A_104/2023 du 2 juin 2023</w:t>
      </w:r>
    </w:p>
    <w:p>
      <w:r>
        <w:t>IT: TF 5A_104/2023 del 2 giugno 2023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Tribunal fédéral statue sur la base des faits établis par l'autorité précédente ( art. 105 al. 1 LTF ). Sur quelques points, l'état de fait a néanmoins été complété d'office conformément à l' art. 105 al. 2 LTF sur la base des pièces du dossier ainsi que de la décision de la chambre de surveillance du 24 novembre 2022 (DCSO/476/22), décisive pour juger de la recevabilité du recours en matière civile.</w:t>
      </w:r>
    </w:p>
    <w:p>
      <w:r>
        <w:rPr>
          <w:b/>
        </w:rPr>
        <w:t>E. 2</w:t>
      </w:r>
    </w:p>
    <w:p>
      <w:r>
        <w:t>Le Tribunal fédéral examine d'office et librement la recevabilité des recours qui lui sont soumis ( ATF 145 I 239 consid. 2).</w:t>
      </w:r>
    </w:p>
    <w:p>
      <w:r>
        <w:rPr>
          <w:b/>
        </w:rPr>
        <w:t>E. 2.1</w:t>
      </w:r>
    </w:p>
    <w:p>
      <w:r>
        <w:t>L' art. 76 al. 1 let. b LTF exige que le recourant ait un intérêt digne de protection à l'annulation ou la modification de l'arrêt attaqué pour lui reconnaître la qualité pour recourir.</w:t>
      </w:r>
    </w:p>
    <w:p>
      <w:r>
        <w:t>L'intérêt à recourir doit être actuel. Il doit en principe exister aussi bien au moment du dépôt du recours qu'au moment où le tribunal statue ( ATF 143 III 578 consid. 3.2.2.2; 140 III 92 consid. 1.1; 137 I 296 consid. 4.2; arrêts 4A_539/2020 du 16 mars 2021 consid. 3.2; 5A_827/2020 du 26 février 2021 consid. 1.2; 5A_693/2020 du 25 février 2021 consid. 2.1). En particulier, l'intérêt à recourir a disparu si la décision que l'on veut attaquer a déjà été annulée. Si l'intérêt à recourir disparaît avant le dépôt du recours, il faut conclure que le recours est irrecevable parce que le recourant n'a plus qualité pour recourir (arrêt 5A_693/2020 précité consid. 2.2).</w:t>
      </w:r>
    </w:p>
    <w:p>
      <w:r>
        <w:rPr>
          <w:b/>
        </w:rPr>
        <w:t>E. 2.2</w:t>
      </w:r>
    </w:p>
    <w:p>
      <w:r>
        <w:t>En l'espèce, le procès-verbal de non-lieu de séquestre n° zzz établi le 20 juin 2022 par l'office a été annulé par décision de la chambre de surveillance du 24 novembre 2022 suite à la plainte formée par la partie séquestrante. La recourante n'allègue pas que cette décision - qu'elle a elle-même produite - ferait l'objet d'un recours.</w:t>
      </w:r>
    </w:p>
    <w:p>
      <w:r>
        <w:t>En conséquence, son recours par lequel elle conclut à la réforme de la décision cantonale qui rejette sa plainte contre ce procès-verbal de non-lieu de séquestre a perdu son objet, de sorte qu'il doit être déclaré irrecevable.</w:t>
      </w:r>
    </w:p>
    <w:p>
      <w:r>
        <w:rPr>
          <w:b/>
        </w:rPr>
        <w:t>E. 2.3</w:t>
      </w:r>
    </w:p>
    <w:p>
      <w:r>
        <w:t>Au demeurant, même si le recours avait été déclaré recevable, il aurait dû être rejeté.</w:t>
      </w:r>
    </w:p>
    <w:p>
      <w:r>
        <w:t>Premièrement, l'office ayant refusé d'exécuter le séquestre ordonné par le juge sur les avoirs revendiqués par elle, la recourante n'avait aucun intérêt à attaquer le procès-verbal de non-lieu de séquestre.</w:t>
      </w:r>
    </w:p>
    <w:p>
      <w:r>
        <w:t>Secondement, le litige porte sur l'exécution par l'office du séquestre enregistré sous n° zzz. A cet égard, il faut rappeler que l'ordonnance de séquestre du juge ( art. 272 et 274 LP ) et les conditions de fond du séquestre, en particulier l'existence de biens appartenant au débiteur ( art. 272 al. 1 ch. 3 LP ), sont contrôlées par le juge dans la procédure d'opposition ( art. 278 al. 1 LP ). De son côté, l'office des poursuites exécute l'ordonnance de séquestre ( art. 275 LP ; arrêt 5A_925/2012 du 5 avril 2013 consid. 4.3). Il y a un rattachement physique entre le procès-verbal de l'office et l'ordonnance du juge, le procès-verbal étant dressé "au pied" de celle-ci ( art. 276 al. 1 1</w:t>
      </w:r>
    </w:p>
    <w:p>
      <w:r>
        <w:t>ère phr. LP) ou plutôt au verso (form. 45) ou sur une page annexe (form. 45a), si bien que, s'agissant de la désignation de l'objet à séquestrer, il est admissible que le procès-verbal litigieux renvoie expressément à la rubrique "objets à séquestrer" figurant au dos de l'ordonnance de séquestre (arrêt 5A_77/2008 du 28 avril 2008 consid. 2.2). Une plainte peut être déposée contre la décision de l'office auprès de l'autorité de surveillance (art. 17 s. LP).</w:t>
      </w:r>
    </w:p>
    <w:p>
      <w:r>
        <w:t>Or, en l'espèce, la recourante tente de faire trancher des questions de doit matériel sur la propriété des biens désignés dans l'ordonnance de séquestre. Quant à ses griefs portant sur le numéro de séquestre et la qualification des biens, elle présente une argumentation inintelligible en lien avec le premier ( art. 42 al. 2 LTF ) et, en lien avec le second, elle semble ignorer que l'existence simultanée de deux séquestres fondés sur la même créance n'est pas contraire au droit fédéral (cf. arrêt 5A_925/2012 précité consid. 6.2, publié</w:t>
      </w:r>
    </w:p>
    <w:p>
      <w:r>
        <w:t>in SJ 2013 I p. 463).</w:t>
      </w:r>
    </w:p>
    <w:p>
      <w:r>
        <w:rPr>
          <w:b/>
        </w:rPr>
        <w:t>E. 3</w:t>
      </w:r>
    </w:p>
    <w:p>
      <w:r>
        <w:t>En définitive, le recours est irrecevable. Les frais judiciaires, arrêtés à 1'500 fr., sont mis à la charge de la recourante qui succombe ( art. 66 al. 1 LTF ). Aucuns dépens ne sont dus ( art. 68 al. 1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