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1049/2017 vom 8. Januar 2018</w:t>
      </w:r>
    </w:p>
    <w:p>
      <w:r>
        <w:t>Bundesgericht, 2018-01-08, DE</w:t>
      </w:r>
    </w:p>
    <w:p>
      <w:r>
        <w:rPr>
          <w:b/>
        </w:rPr>
        <w:t xml:space="preserve">Quelle: </w:t>
      </w:r>
      <w:r>
        <w:t>https://mcp.opencaselaw.ch/entscheid/bger_5A_1049_2017</w:t>
      </w:r>
    </w:p>
    <w:p>
      <w:r>
        <w:t>FR: TF 5A 1049/2017 du 8 janvier 2018</w:t>
      </w:r>
    </w:p>
    <w:p>
      <w:r>
        <w:t>IT: TF 5A 1049/2017 del 8 gennaio 2018</w:t>
      </w:r>
    </w:p>
    <w:p>
      <w:pPr>
        <w:pStyle w:val="Heading2"/>
      </w:pPr>
      <w:r>
        <w:t>Regeste</w:t>
      </w:r>
    </w:p>
    <w:p>
      <w:r>
        <w:t>Pfändung | Schuldbetreibungs- und Konkursrecht</w:t>
      </w:r>
    </w:p>
    <w:p>
      <w:pPr>
        <w:pStyle w:val="Heading2"/>
      </w:pPr>
      <w:r>
        <w:t>Erwägungen</w:t>
      </w:r>
    </w:p>
    <w:p>
      <w:r>
        <w:rPr>
          <w:b/>
        </w:rPr>
        <w:t>E. 1</w:t>
      </w:r>
    </w:p>
    <w:p>
      <w:r>
        <w:t>Angefochten ist der kantonal letztinstanzliche Entscheid einer Aufsichtsbehörde in Betreibungs- und Konkurssachen betreffend eine Pfändung; die Beschwerde steht offen ( Art. 72 Abs. 2 lit. a und Art. 75 Abs. 1 BGG ).</w:t>
      </w:r>
    </w:p>
    <w:p>
      <w:r>
        <w:rPr>
          <w:b/>
        </w:rPr>
        <w:t>E. 2</w:t>
      </w:r>
    </w:p>
    <w:p>
      <w:r>
        <w:t>Gegenstand des angefochtenen Entscheides ist die Berechnung des Existenzminimums bzw. der pfändbaren Lohnquote. Art. 93 Abs. 1 SchKG verweist für die Lohnpfändung auf das Ermessen des Betreibungsbeamten. Mit Beschwerde gemäss Art. 19 Abs. 1 SchKG kann deshalb einzig gerügt werden, dass bei der Ausübung des im Gesetz eingeräumten Ermessens sachfremde Kriterien berücksichtigt oder rechtserhebliche Umstände ausser Acht gelassen worden sind ( BGE 128 III 337 E. 3a m.w.H.). Die Aufsichtsbehörde hat zu den Vorbringen des Schuldners, es sei nicht möglich, ohne Geld Krankenkassenprämien und Alimente zu bezahlen, erwogen, dass er für ausstehende Krankenkassenprämien betrieben werde und seit Jahren keine Prämien mehr bezahlt habe, ebenso wenig die Alimente, so dass es nicht zu beanstanden sei, dass die betreffenden Positionen im Existenzminimum nicht einberechnet würden.</w:t>
      </w:r>
    </w:p>
    <w:p>
      <w:r>
        <w:rPr>
          <w:b/>
        </w:rPr>
        <w:t>E. 3</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Der Beschwerdeführer äussert sich nur ansatzweise zum Thema der Lohnpfändung und ohne sachgerichtete Auseinandersetzung mit den im angefochtenen Entscheid erfolgten Ausführungen (gemäss BAG dürften Krankenkassenprämien nur noch im Voraus bezahlt werden und er habe dies immer getan, aber er habe gar keine Prämien bei der C.________, weil er die dortige Krankenkasse längst gekündigt habe). Im Übrigen äussert sich der Beschwerdeführer zu anderen Dingen (seit dem Jahr 2004 hätten ihm das Betreibungsamt und die Aufsichtsbehörde durch gemeinsam organisierte rechtswidrige Handlungen Fr. 238'618.40 illegal entwendet mit falschen Urteilen und gefälschten Gläubigern, etc.; das Richteramt Solothurn-Lebern weigere sich, in dieser Sache zu ermitteln; es brauche Amtsentzug; alle Entschädigungen seien direkt vom Betreibungsamt bzw. von den dortigen Mitarbeitern zu tragen; in der Schweiz dürfe es nicht Sklaverei, Raub, Menschenrechtsentzug etc. geben); all dies geht über den Verfahrensgegenstand hinaus bzw. an diesem vorbei, weshalb darauf nicht einzutreten ist ( BGE 136 V 362 E. 3.4.2 S. 365; Urteil 5A_761/2016 vom 20. Juni 2017 E. 2.2.3).</w:t>
      </w:r>
    </w:p>
    <w:p>
      <w:r>
        <w:rPr>
          <w:b/>
        </w:rPr>
        <w:t>E. 4</w:t>
      </w:r>
    </w:p>
    <w:p>
      <w:r>
        <w:t>Nach dem Gesagten erweist sich die Beschwerde als offensichtlich nicht hinreichend begründet, weshalb auf sie nicht eingetreten werden kann und das präsidierende Mitglied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von Fr. 1'000.-- werden dem Beschwerdeführer auferlegt.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