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1045/2018 vom 12. April 2019</w:t>
      </w:r>
    </w:p>
    <w:p>
      <w:r>
        <w:t>Bundesgericht, 2019-04-12, FR</w:t>
      </w:r>
    </w:p>
    <w:p>
      <w:r>
        <w:rPr>
          <w:b/>
        </w:rPr>
        <w:t xml:space="preserve">Quelle: </w:t>
      </w:r>
      <w:r>
        <w:t>https://mcp.opencaselaw.ch/entscheid/bger_5A_1045_2018</w:t>
      </w:r>
    </w:p>
    <w:p>
      <w:r>
        <w:t>FR: TF 5A 1045/2018 du 12 avril 2019</w:t>
      </w:r>
    </w:p>
    <w:p>
      <w:r>
        <w:t>IT: TF 5A 1045/2018 del 12 aprile 2019</w:t>
      </w:r>
    </w:p>
    <w:p>
      <w:pPr>
        <w:pStyle w:val="Heading2"/>
      </w:pPr>
      <w:r>
        <w:t>Regeste</w:t>
      </w:r>
    </w:p>
    <w:p>
      <w:r>
        <w:t>curatelle de représentation (art. 306 al. 2 CC) | Droit de la famille</w:t>
      </w:r>
    </w:p>
    <w:p>
      <w:pPr>
        <w:pStyle w:val="Heading2"/>
      </w:pPr>
      <w:r>
        <w:t>Erwägungen</w:t>
      </w:r>
    </w:p>
    <w:p>
      <w:r>
        <w:rPr>
          <w:b/>
        </w:rPr>
        <w:t>E. 1</w:t>
      </w:r>
    </w:p>
    <w:p>
      <w:r>
        <w:t>Le Tribunal fédéral examine d'office la recevabilité des recours qui lui sont soumis ( ATF 141 III 395 consid. 2.1; 141 II 113 consid. 1).</w:t>
      </w:r>
    </w:p>
    <w:p>
      <w:r>
        <w:rPr>
          <w:b/>
        </w:rPr>
        <w:t>E. 1.1</w:t>
      </w:r>
    </w:p>
    <w:p>
      <w:r>
        <w:t>Le recours en matière civile, tout comme le recours constitutionnel subsidiaire, étant une voie de réforme ( art. 107 al. 2 et 117 LTF ), et non de cassation,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2.1).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w:t>
      </w:r>
    </w:p>
    <w:p>
      <w:r>
        <w:rPr>
          <w:b/>
        </w:rPr>
        <w:t>E. 1.2</w:t>
      </w:r>
    </w:p>
    <w:p>
      <w:r>
        <w:t>En l'occurrence, force est de constater que le recours est dépourvu de toute conclusion réformatoire précise au sens susrappelé, alors que le recourant était parfaitement en mesure d'en prendre au vu de l'objet limité du litige, qui ne porte à ce stade que sur la désignation d'un curateur de représentation aux enfants et non sur le fond de la demande de changement de nom introduite par leur mère. Le recourant n'expose du reste pas en quoi la Cour de céans serait empêchée de réformer elle-même l'arrêt querellé et statuer sur le fond, ce qui justifierait l'absence de conclusions réformatoires en bonne et due forme. Or, à la lecture de l'arrêt entrepris, il n'apparaît pas d'emblée qu'un renvoi s'imposerait nécessairement. Le recourant ne saurait se dispenser de prendre des conclusions au fond pour le seul motif qu'il soulève en substance un grief d'arbitraire dans l'établissement des faits (recours, let. a) " Considérations incomplètes et partielles de l'arrêt ", ch. 1-21 p. 1-3); une dispense se conçoit uniquement s'il est exclu que le Tribunal fédéral réforme le jugement au fond, et non pas s'il est possible qu'il doive éventuellement renvoyer la cause à l'instance cantonale, faculté qu'il peut au demeurant toujours utiliser (cf. art. 107 al. 2 LTF ; arrêt 4A_402/2011 du 19 décembre 2011 consid. 1.3). Il suit de là que les conclusions du recours sont irrecevables, de sorte qu'il n'y a pas lieu d'entrer en matière.</w:t>
      </w:r>
    </w:p>
    <w:p>
      <w:r>
        <w:rPr>
          <w:b/>
        </w:rPr>
        <w:t>E. 2</w:t>
      </w:r>
    </w:p>
    <w:p>
      <w:r>
        <w:t>En définitive, le recours est irrecevable,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