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1042/2020 vom 19. März 2021</w:t>
      </w:r>
    </w:p>
    <w:p>
      <w:r>
        <w:t>Bundesgericht, 2021-03-19, FR</w:t>
      </w:r>
    </w:p>
    <w:p>
      <w:r>
        <w:rPr>
          <w:b/>
        </w:rPr>
        <w:t xml:space="preserve">Quelle: </w:t>
      </w:r>
      <w:r>
        <w:t>https://mcp.opencaselaw.ch/entscheid/bger_5A_1042_2020</w:t>
      </w:r>
    </w:p>
    <w:p>
      <w:r>
        <w:t>FR: TF 5A 1042/2020 du 19 mars 2021</w:t>
      </w:r>
    </w:p>
    <w:p>
      <w:r>
        <w:t>IT: TF 5A 1042/2020 del 19 marzo 2021</w:t>
      </w:r>
    </w:p>
    <w:p>
      <w:pPr>
        <w:pStyle w:val="Heading2"/>
      </w:pPr>
      <w:r>
        <w:t>Regeste</w:t>
      </w:r>
    </w:p>
    <w:p>
      <w:r>
        <w:t>action en contestation de revendication (art. 108 LP) | Droit des poursuites et faillites</w:t>
      </w:r>
    </w:p>
    <w:p>
      <w:pPr>
        <w:pStyle w:val="Heading2"/>
      </w:pPr>
      <w:r>
        <w:t>Erwägungen</w:t>
      </w:r>
    </w:p>
    <w:p>
      <w:r>
        <w:rPr>
          <w:b/>
        </w:rPr>
        <w:t>E. 1</w:t>
      </w:r>
    </w:p>
    <w:p>
      <w:r>
        <w:t>Déposé en temps utile ( art. 100 al. 2 let. a LTF ) contre une décision finale ( art. 90 LTF ; ATF 133 III 350 consid. 1.2) rendue par une autorité de surveillance en matière de poursuite pour dettes statuant en dernière (unique) instance cantonale ( art. 75 al. 1 LTF ), le recours en matière civile est recevable, indépendamment de la valeur litigieuse ( art. 74 al. 2 let . c LTF). Les recourants ont en outre qualité pour critiquer la répartition du rôle des parties au procès ( art. 76 al. 1 LTF ; arrêt 5A_638/2008 du 5 décembre 2008 consid. 1).</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ce qui implique d'invoquer expressément et de motiver de façon claire et détaillée un tel grief ( art. 106 al. 2 LTF ; ATF 146 IV 114 consid. 2.1). Une critique des faits qui ne satisfait pas à cette exigence est irrecevable ( ATF 141 IV 249 consid. 1.3.1 et la référence).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3</w:t>
      </w:r>
    </w:p>
    <w:p>
      <w:r>
        <w:t>L'autorité cantonale a retenu qu'il était constant que les avoirs revendiqués par A.________ SA, B.________ Limited et D.________ Ltd étaient déposés sur des comptes bancaires dont elles étaient titulaires et sur lesquels leurs organes, ou les personnes qu'elles avaient désignées à cet effet, disposaient d'un pouvoir de signature individuel et collectif. Elle a relevé que les plaignants n'avaient pas allégué à cet égard, et n'avaient pas davantage rendu vraisemblable, que le débiteur revêtirait la qualité d'organe de l'une ou l'autre de ces sociétés ou qu'il disposerait sur l'un des trois comptes concernés d'un pouvoir de signature lui donnant la possibilité, seul ou avec un tiers, de disposer des avoirs qui y sont déposés. Elle a ajouté qu'il ne résultait même pas du dossier, et les plaignants ne l'alléguaient pas, que le débiteur aurait été reconnu par l'une ou l'autre des deux banques auprès desquelles les comptes ont été ouverts comme en étant le bénéficiaire économique, ce que les sociétés intimées et le débiteur contestaient. Elle en a conclu que les sociétés intimées disposaient ainsi sur les avoirs revendiqués d'un pouvoir apparent de disposition immédiat et exclusif, alors que la maîtrise effective du débiteur sur les avoirs revendiqués n'apparaissait, à suivre l'argumentation des plaignants, qu'indirecte puisqu'elle s'exercerait informellement, par le truchement d'un trust stipulé irrévocable et discrétionnaire. L'autorité cantonale a précisé qu'à cela s'ajoutait qu'une telle maîtrise indirecte des valeurs patrimoniales séquestrées se fondait sur le principe de la transparence dont l'application à un cas concret supposait réunies diverses conditions dont l'examen, sur la base des circonstances du cas d'espèce, excédait le pouvoir d'examen des autorités de poursuite. Il en allait ainsi, à titre d'exemple, de l'allégation - contestée - figurant dans les ordonnances de séquestre selon laquelle le débiteur pourrait " disposer dans les faits des avoirs de F.________ ", dont les pièces à disposition de l'office, ainsi que celles produites dans la procédure de plainte, ne permettaient pas d'apprécier le bien-fondé. L'autorité cantonale a jugé sur la base de ces éléments que l'office avait correctement retenu que les sociétés intimées bénéficiaient d'un meilleur droit apparent sur les avoirs déposés sur les comptes dont elles étaient titulaires en mains de la Banque E.________ et de K.________ AG, avec pour conséquence que l'application de l' art. 108 al. 1 et 2 LP était justifiée. S'agissant de la revendication de la Banque E.________ portant sur l'équivalent en francs suisses d'une créance en compte courant à l'encontre de D.________ Ltd de 27'844'674.01 USD au 28 mai 2019, l'autorité de surveillance a retenu que l'existence et le montant de la créance en compte courant contre D.________ Ltd étaient établis, au stade de l'apparence du bien-fondé du droit invoqué, par la production d'un relevé de compte n° aaaaa dont D.________ Ltd était titulaire. Elle a précisé qu'il n'y avait pas lieu, au stade de l'application des art. 107 s. LP, de se prononcer plus avant sur les diverses opérations de débit et de crédit ayant conduit à l'existence, à la date du séquestre, d'un solde négatif, ce d'autant que, dans la mesure où la créance invoquée ne concernait qu'une rubrique de la relation n° aaaaa, il n'était pas contradictoire de la part de la banque de faire valoir un droit de gage sur les autres valeurs conservées par elle dans le cadre de cette relation. Elle a ajouté que la question de savoir si la banque n'aurait pas respecté un séquestre pénal antérieur ne relevait pas de sa compétence. Pour le reste, l'existence d'un droit de gage sur les avoirs déposés sur le compte n° aaaaa résultait de l'art. 9 des Conditions générales de la banque, signées par le débiteur. Enfin, l'autorité de surveillance a retenu que l'assiette de la revendication résultait de manière suffisamment explicite des ordonnances de séquestre.</w:t>
      </w:r>
    </w:p>
    <w:p>
      <w:r>
        <w:rPr>
          <w:b/>
        </w:rPr>
        <w:t>E. 4</w:t>
      </w:r>
    </w:p>
    <w:p>
      <w:r>
        <w:t>La demande de sûretés ( art. 170 al. 1 LIFD ), que l'administration cantonale de l'impôt fédéral direct peut exiger en tout temps si le contribuable n'a pas de domicile en Suisse ou que les droits du fisc paraissent menacés (cf. art. 169 LIFD ), est assimilée à une ordonnance de séquestre au sens de l' art. 274 LP , si elle contient toutes les informations exigées pour cette ordonnance ( art. 274 al. 2 LP ). Les art. 38 et 39 de la Loi genevoise relative à la perception et aux garanties des impôts des personnes physiques et des personnes morales (LPGIP; RS/GE D 3 18) ont un contenu identique à celui des art. 169 et 170 LIFD ( ATF 145 III 30 consid. 7.3.1 et 7.3.2). L'administration fiscale cantonale charge l'office des poursuites d'exécuter le séquestre selon les règles de la LP et lui notifie l'ordonnance de séquestre (cf. art. 275 ss et 91 à 109 LP). L'opposition au séquestre ( art. 278 LP ) n'est pas recevable (cf. art. 170 al. 2 LIFD et 78 3ème phr. LHID). En revanche, le débiteur peut recourir contre la décision de sûretés selon les voies de recours ordinaires ( art. 169 al. 3 LIFD ); la plainte auprès de l'autorité de surveillance ( art. 17 LP ) reste ensuite ouverte contre l'exécution du séquestre (arrêt 5A_730/2016 du 20 décembre 2016 consid. 2, publié in SJ 2017 I p. 280 et BlSchK 2018 p. 21). Les compétences de l'office des poursuites et des autorités de surveillance sont limitées aux mesures proprement dites d'exécution du séquestre, dont fait partie la procédure de revendication ( art. 106 ss LP ), ainsi qu'au contrôle de la régularité formelle de l'ordonnance de séquestre ( ATF 143 III 573 consid. 4.1.2). La question de savoir si le créancier a réussi à rendre vraisemblable que certaines valeurs appartenaient au débiteur malgré l'apparence formelle relève de la compétence du juge du séquestre, respectivement du juge de l'opposition ( ATF 130 III 579 consid. 2.2.4 et les références). Lorsque la voie de l'opposition est exclue, comme c'est le cas en matière fiscale, la compétence revient à l'autorité de recours désignée par les lois fiscales applicables. Si le juge a admis le séquestre et qu'il le confirme sur opposition en se fondant sur le fait que les biens appartiennent vraisemblablement au débiteur, le tiers devra faire valoir ses droits dans la procédure de revendication ( art. 106-109 LP ; arrêt 5A_730/2016 précité consid. 3.2.1). Or, lorsqu'un tiers revendique un droit de propriété ou de gage, ou un autre droit, sur l'objet saisi ou séquestré (cf. art. 275 LP ), et que sa prétention est contestée par le débiteur et/ou le créancier, l'office impartit un délai de 20 jours, soit au tiers pour ouvrir action en constatation de son droit, si le bien est en possession exclusive du débiteur ( art. 107 LP ), soit au créancier/débiteur pour ouvrir action en contestation de la prétention du tiers, si le bien est en possession ou en copossession de celui-ci ( art. 108 LP ). Pour déterminer les rôles dans cette procédure, seule est déterminante la possession - au sens d'une détention de fait ( ATF 144 III 198 consid. 5.1.2.1) - du bien revendiqué au moment où l'office des poursuites exécute la saisie ( ATF 122 III 436 consid. 2a; arrêt 5A_859/2019 du 9 novembre 2020 consid. 3.1 et 3.2.1). La décision du juge de l'opposition ou de l'autorité de recours en matière fiscale de séquestrer les biens formellement au nom de tiers ne modifie pas cette règle. La question de la titularité du bien séquestré relève exclusivement de la procédure de revendication prévue par les art. 106 ss LP . Il n'appartient ni à l'office ni aux autorités de surveillance de se prononcer sur la propriété des biens ou la titularité des créances. Dès lors, l'office s'en tient, à cet égard, aux déclarations du débiteur ou du tiers revendiquant et n'a pas à vérifier le bien-fondé de la revendication; il doit uniquement trancher la question du meilleur droit apparent, soit de savoir qui peut disposer matériellement de la chose, sans avoir à se demander si l'état de fait est ou non conforme au droit (ATF 144 III précité consid. 5.1.2.2; 123 III 367 consid. 3b).</w:t>
      </w:r>
    </w:p>
    <w:p>
      <w:r>
        <w:rPr>
          <w:b/>
        </w:rPr>
        <w:t>E. 5</w:t>
      </w:r>
    </w:p>
    <w:p>
      <w:r>
        <w:t>En l'espèce, les recourants se plaignent d'arbitraire ( art. 9 Cst. ) dans l'établissement des faits sur trois points, soit celui en lien avec le principe de la transparence (auquel ils rattachent aussi le domicile du séquestré, traité dans une cause disjointe, en vue d'apprécier le séquestre fiscal ordonné), celui en lien avec le devoir de l'office de s'assurer que la Banque E.________ a assumé son devoir de conservation ou de gestion des avoirs séquestrés, et celui en lien avec le montant des actifs sur lesquels peut porter la créance résultant du droit de gage de la Banque E.________, en ce sens que celle-ci revendique un droit de gage sur des valeurs totalisant 673'649'790.57 USD alors que sa prétendue créance est de 28'503'230 USD. Sur la base des faits dont ils dénoncent l'établissement arbitraire, ils se plaignent ensuite de la violation des règles sur l'exécution du séquestre, soit les art. 91 à 109 et 275 LP, sur le meilleur droit apparent des tiers sur les avoirs séquestrés et sur le devoir de l'autorité de surveillance de se prononcer sur les diverses opérations de débit et de crédit sur le compte n° aaaaa auprès de la Banque E.________. En soulevant ces griefs, les recourants méconnaissent l'objet du litige, soit la répartition des rôles dans la procédure de revendication, et les règles précitées. Ils ignorent que l'office n'a pas à juger du bien-fondé de la revendication, de sorte que les éléments de preuve qu'ils offrent n'avaient pas à être administrés à ce stade de la procédure, et que l'éventuelle violation du devoir de conservation ou de gestion de la banque n'est pas l'objet de la présente procédure. Leur reproche quant à l'arbitraire des faits ayant conduit à disjoindre les causes est tout simplement incompréhensible, pas plus qu'on ne saisit en quoi l'autorité cantonale aurait établi de manière arbitraire les faits en lien avec l'assiette de la revendication de la banque, alors qu'elle a expressément fixé le montant de la créance revendiquée à concurrence du montant de 27'844'674.01 USD au 28 mai 2019. Il suit de là que les griefs sont tous irrecevables, qu'ils relèvent du fait ou du droit, étant précisé que les griefs de droit où les recourants reprennent les faits dont ils n'ont pas démontré l'établissement arbitraire n'ont pas d'objet.</w:t>
      </w:r>
    </w:p>
    <w:p>
      <w:r>
        <w:rPr>
          <w:b/>
        </w:rPr>
        <w:t>E. 6</w:t>
      </w:r>
    </w:p>
    <w:p>
      <w:r>
        <w:t>En définitive, le recours est irrecevable. Les frais judiciaires, arrêtés à 1'000 fr., sont mis solidairement à la charge des recourants ( art. 66 al. 1 et 4 LTF ). Les intimées n'ayant pas été suivies sur la question de l'effet suspensif et n'ayant pas été invitées à répondre sur le fond,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