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5A_1042/2018 vom 28. Dezember 2018</w:t>
      </w:r>
    </w:p>
    <w:p>
      <w:r>
        <w:t>Bundesgericht, 2018-12-28, DE</w:t>
      </w:r>
    </w:p>
    <w:p>
      <w:r>
        <w:rPr>
          <w:b/>
        </w:rPr>
        <w:t xml:space="preserve">Quelle: </w:t>
      </w:r>
      <w:r>
        <w:t>https://mcp.opencaselaw.ch/entscheid/bger_5A_1042_2018</w:t>
      </w:r>
    </w:p>
    <w:p>
      <w:r>
        <w:t>FR: TF 5A_1042/2018 du 28 décembre 2018</w:t>
      </w:r>
    </w:p>
    <w:p>
      <w:r>
        <w:t>IT: TF 5A_1042/2018 del 28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ist in der Regel erst gegen Endentscheide zulässig ( Art. 90 BGG ). Rückweisungsentscheide kantonaler Rechtsmittelinstanzen schliessen das Verfahren nicht ab und sind somit nach der Rechtsprechung keine End-, sondern Vor- und Zwischenentscheide. Als solche können sie - ausser der Vorinstanz verbleibe aufgrund der Rückweisung kein Entscheidungsspielraum mehr, was im Bereich des Zivilrechts kaum je der Fall ist - nur unter den Voraussetzungen gemäss Art. 93 BGG direkt mit Beschwerde beim Bundesgericht angefochten werden (zum Ganzen: BGE 144 III 253 E. 1.3 und 1.4 mit Hinweisen auf die reichhaltige publizierte Rechtsprechung).</w:t>
      </w:r>
    </w:p>
    <w:p>
      <w:r>
        <w:t>In der Beschwerde ist im Einzelnen darzulegen, inwiefern die Voraussetzungen nach Art. 93 BGG erfüllt sind, ansonsten auf die Beschwerde mangels hinreichender Begründung nicht einzutreten ist ( BGE 137 III 324 E. 1.1 S. 329 mit Hinweisen auf die reichhaltige publizierte Rechtsprechung).</w:t>
      </w:r>
    </w:p>
    <w:p>
      <w:r>
        <w:rPr>
          <w:b/>
        </w:rPr>
        <w:t>E. 2</w:t>
      </w:r>
    </w:p>
    <w:p>
      <w:r>
        <w:t>Die Beschwerdeführerin äussert sich mit keinem Wort zu den Beschwerdevoraussetzungen nach Art. 93 BGG , weshalb die Beschwerde offensichtlich nicht hinreichend begründet ist und folglich mit Präsidialentscheid im vereinfachten Verfahren nach Art. 108 Abs. 1 lit. b BGG auf sie nicht einzutreten ist.</w:t>
      </w:r>
    </w:p>
    <w:p>
      <w:r>
        <w:rPr>
          <w:b/>
        </w:rPr>
        <w:t>E. 3</w:t>
      </w:r>
    </w:p>
    <w:p>
      <w:r>
        <w:t>Mit dem Entscheid in der Sache wird das Gesuch um aufschiebende Wirkung gegenstandslos.</w:t>
      </w:r>
    </w:p>
    <w:p>
      <w:r>
        <w:rPr>
          <w:b/>
        </w:rPr>
        <w:t>E. 4</w:t>
      </w:r>
    </w:p>
    <w:p>
      <w:r>
        <w:t>Die (zufolge Nichteintretens reduzierten) Gerichtskosten sind der Beschwerdeführerin aufzuerlegen ( Art. 66 Abs. 1 BGG ). Der Nachlasswert beträgt Fr. 2'000'000.--, wobei vorliegend einzig die Einsetzung eines Erbenvertreters streitig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