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5A_1040/2025 vom 4. Dezember 2025</w:t>
      </w:r>
    </w:p>
    <w:p>
      <w:r>
        <w:t>Bundesgericht, 2025-12-04, DE</w:t>
      </w:r>
    </w:p>
    <w:p>
      <w:r>
        <w:rPr>
          <w:b/>
        </w:rPr>
        <w:t xml:space="preserve">Quelle: </w:t>
      </w:r>
      <w:r>
        <w:t>https://mcp.opencaselaw.ch/entscheid/bger_5A_1040_2025</w:t>
      </w:r>
    </w:p>
    <w:p>
      <w:r>
        <w:t>FR: TF 5A_1040/2025 du 4 décembre 2025</w:t>
      </w:r>
    </w:p>
    <w:p>
      <w:r>
        <w:t>IT: TF 5A_1040/2025 del 4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angefochtene Beschluss wurde am 29. Oktober 2025 zugestellt. Die 30-tägige Beschwerdefrist ( Art. 100 Abs. 1 BGG ) begann folglich am 30. Oktober 2025 zu laufen ( Art. 44 Abs. 1 BGG ) und endete am Freitag 28. November 2025. Die erst am 30. November 2025 der Post übergebene Beschwerde ist somit verspätet und es kann auf sie nicht eingetreten werden.</w:t>
      </w:r>
    </w:p>
    <w:p>
      <w:r>
        <w:rPr>
          <w:b/>
        </w:rPr>
        <w:t>E. 2</w:t>
      </w:r>
    </w:p>
    <w:p>
      <w:r>
        <w:t>Ohnehin würde es der Beschwerde an einem hinreichenden Rechtsbegehren und mangels sachgerichteter Auseinandersetzung mit den Erwägungen des angefochtenen Beschlusses auch an einer hinreichenden Begründung mangeln ( Art. 42 Abs. 1 und 2 BGG ).</w:t>
      </w:r>
    </w:p>
    <w:p>
      <w:r>
        <w:rPr>
          <w:b/>
        </w:rPr>
        <w:t>E. 3</w:t>
      </w:r>
    </w:p>
    <w:p>
      <w:r>
        <w:t>Nach dem Gesagten ist auf die Beschwerde im vereinfachten Verfahren nach Art. 108 Abs. 1 lit. a und b BGG nicht einzutreten.</w:t>
      </w:r>
    </w:p>
    <w:p>
      <w:r>
        <w:rPr>
          <w:b/>
        </w:rPr>
        <w:t>E. 4</w:t>
      </w:r>
    </w:p>
    <w:p>
      <w:r>
        <w:t>Die Gerichtskosten sind den Beschwerdeführern unter solidarischer Haftbarkeit aufzuerlegen ( Art. 66 Abs. 1 und 5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