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5A_1040/2021 vom 24. Januar 2022</w:t>
      </w:r>
    </w:p>
    <w:p>
      <w:r>
        <w:t>Bundesgericht, 2022-01-24, FR</w:t>
      </w:r>
    </w:p>
    <w:p>
      <w:r>
        <w:rPr>
          <w:b/>
        </w:rPr>
        <w:t xml:space="preserve">Quelle: </w:t>
      </w:r>
      <w:r>
        <w:t>https://mcp.opencaselaw.ch/entscheid/bger_5A_1040_2021</w:t>
      </w:r>
    </w:p>
    <w:p>
      <w:r>
        <w:t>FR: TF 5A_1040/2021 du 24 janvier 2022</w:t>
      </w:r>
    </w:p>
    <w:p>
      <w:r>
        <w:t>IT: TF 5A_1040/2021 del 24 gennaio 2022</w:t>
      </w:r>
    </w:p>
    <w:p>
      <w:pPr>
        <w:pStyle w:val="Heading2"/>
      </w:pPr>
      <w:r>
        <w:t>Erwägungen</w:t>
      </w:r>
    </w:p>
    <w:p>
      <w:r>
        <w:rPr>
          <w:b/>
        </w:rPr>
        <w:t>E. 1</w:t>
      </w:r>
    </w:p>
    <w:p>
      <w:r>
        <w:t>Le recours a été déposé à temps ( art. 46 al. 1 let . c et 100 al. 1 LTF) contre une décision finale ( art. 90 LTF ; ATF 133 III 687 consid. 1.2) qui confirme, en dernière instance cantonale et sur recours ( art. 75 al. 1 et 2 LTF ), la faillite du recourant ( art. 72 al. 2 let. a LTF ). Il est ouvert quelle que soit la valeur litigieuse ( art. 74 al. 2 let . d LTF). Le recourant, qui a pris part à la procédure devant la juridiction précédente et a un intérêt digne de protection à l'annulation ou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w:t>
      </w:r>
    </w:p>
    <w:p>
      <w:r>
        <w:t>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Invoquant, dans deux griefs séparés, une violation de l' art. 174 al. 2 LP ainsi que de l'interdiction de l'arbitraire ( art. 9 Cst. ), le recourant se plaint en substance de ce que la cour cantonale n'a pas retenu qu'il avait rendu vraisemblable sa solvabilité.</w:t>
      </w:r>
    </w:p>
    <w:p>
      <w:r>
        <w:rPr>
          <w:b/>
        </w:rPr>
        <w:t>E. 3.1.1</w:t>
      </w:r>
    </w:p>
    <w:p>
      <w:r>
        <w:t>En vertu de l' art. 174 al. 2 LP ,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(arrêts 5A_918/2020 du 26 mars 2021 consid. 2; 5A_1005/2020 du 19 janvier 2021 consid. 3.1.1; 5A_801/2014 du 5 décembre 2014 consid. 6.1 et la référence). En l'espèce, il n'est pas contesté que l'intimée a retiré sa requête de faillite et que seule la question de la solvabilité du recourant est litigieuse.</w:t>
      </w:r>
    </w:p>
    <w:p>
      <w:r>
        <w:rPr>
          <w:b/>
        </w:rPr>
        <w:t>E. 3.1.2</w:t>
      </w:r>
    </w:p>
    <w:p>
      <w:r>
        <w:t>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5A_615/2020 du 30 septembre 2020 consid. 3.1; 5A_600/2020 du 29 septembre 2020 consid. 3.1; 5A_251/2018 du 31 mai 2018 consid. 3.1 et les références).</w:t>
      </w:r>
    </w:p>
    <w:p>
      <w:r>
        <w:t>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 art. 43 LP ,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5A_615/2020 précité loc. cit.; 5A_251/2018 précité loc. cit. et les références).</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(cf. parmi plusieurs: arrêts 5A_108/2021 du 29 septembre 2021 consid. 2.2 i.f.; 5A_93/2018 du 18 avril 2018 consid. 4.1 et les références). Le recourant qui entend attaquer la décision cantonale sur ce point doit dès lors présenter une motivation fondée sur l' art. 9 Cst. , répondant aux exigences du principe d'allégation ( art. 106 al. 2 Cst. ; cf.</w:t>
      </w:r>
    </w:p>
    <w:p>
      <w:r>
        <w:t>supra consid. 2.1 et 2.2; arrêts 5A_615/2020 précité loc. cit.; 5A_108/2021 précité loc. cit.; 5A_918/2020 précité consid. 4.3.1; 5A_93/2018 précité loc. cit.; 5A_175/2015 du 5 juin 2015 consid. 3.1, publié in SJ 2016 I 101).</w:t>
      </w:r>
    </w:p>
    <w:p>
      <w:r>
        <w:rPr>
          <w:b/>
        </w:rPr>
        <w:t>E. 3.2</w:t>
      </w:r>
    </w:p>
    <w:p>
      <w:r>
        <w:t>La cour cantonale a retenu qu'il ressortait de l'extrait du registre des poursuites daté du 25 novembre 2021 produit par le failli qu'il comptabilisait des poursuites exécutoires à hauteur de 163'894 fr. 57, la plus ancienne datant du 7 octobre 2020 et la plus récente du 16 novembre 2021. Même à en déduire les montants mis en poursuite par son bailleur, d'une part, et l'Administration fédérale des contributions, d'autre part, pour lesquels le failli démontrait, documents à l'appui, qu'ils avaient fait l'objet d'une correction en sa faveur, ainsi que les poursuites acquittées par le failli et le montant dû à la créancière à l'origine de la faillite, il restait un solde de poursuites exécutoires de 75'164 fr. 50 selon les allégués du recourant. Au surplus, de nombreuses poursuites en cours contre lui se trouvaient déjà au stade de la commination de faillite ou de la saisie, celles-ci devant être prises en considération dans l'examen de la solvabilité, même si elles ne pouvaient pas conduire à la faillite. La cour cantonale a par ailleurs constaté que si le recourant avait produit un relevé au 31 août 2021 qui indiquait un chiffre d'affaires de 165'377 fr. 82 à cette date, il ne semblait plus disposer de cette somme puisqu'il faisait valoir que le montant de ses poursuites pourrait être acquitté grâce à un prêt de 26'000 fr. de son amie C.________, et à un prêt hypothécaire de 50'000 fr. au sujet duquel la Banque D.________ avait dit accepter d'entrer en matière. Or, il ne s'agissait là que de promesses et non de montants qui seraient à la libre disposition immédiate du recourant ou consignés auprès du Tribunal cantonal en faveur de ses créanciers. Dans ces circonstances, la cour cantonale a considéré que le recourant ne se trouvait pas uniquement de manière temporaire dans l'impossibilité d'honorer ses dettes échues, mais que ses difficultés financières étaient au contraire durables.</w:t>
      </w:r>
    </w:p>
    <w:p>
      <w:r>
        <w:rPr>
          <w:b/>
        </w:rPr>
        <w:t>E. 3.3</w:t>
      </w:r>
    </w:p>
    <w:p>
      <w:r>
        <w:t>En l'occurrence, force est d'emblée de constater que le recourant, qui concentre sa critique exclusivement sur une question relevant du fait, soit celle de savoir s'il a ou non rendu vraisemblable in casu sa solvabilité, perd de vue qu'il lui appartenait de démontrer l'arbitraire dans la constatation des faits et l'appréciation des preuves opérées par la cour cantonale au moyen d'une critique répondant aux exigences accrues de motivation découlant de l' art. 106 al. 2 LTF (cf.</w:t>
      </w:r>
    </w:p>
    <w:p>
      <w:r>
        <w:t>supra consid. 3.1.2 i.f.). Son grief de violation de l' art. 174 al. 2 LP (recours, ch. I p. 4-7) est partant en tant que tel inopérant. Il l'est d'autant plus qu'il s'avère qu'il ne consiste en définitive qu'à opposer, sur un mode purement appellatoire, la propre appréciation des preuves du recourant à celle de la cour cantonale.</w:t>
      </w:r>
    </w:p>
    <w:p>
      <w:r>
        <w:t>Quant au moyen que le recourant tire expressément d'une violation de l' art. 9 Cst. (recours, ch. II p. 7-9), il n'emporte pas non plus la conviction d'une appréciation arbitraire des preuves. Le recourant estime que la cour cantonale a versé dans l'arbitraire en retenant qu'il semblait ne plus disposer de son chiffre d'affaires annuel étant donné qu'il avait sollicité un prêt à son amie C.________ et une augmentation de son prêt hypothécaire auprès de la Banque D.________. Serait également arbitraire selon lui le fait de n'avoir retenu que l'existence de simples promesses de C.________ et de la Banque D.________, alors que, comme cela ressortait des pièces produites, il avait obtenu de " vrais engagements clairs et non interprétables " pour qu'il puisse honorer toutes ses dettes échues. Ce faisant, le recourant ne s'attaque pas aux constatations, pourtant décisives, de la cour cantonale sur l'état de ses poursuites, dont il a été constaté que plusieurs se trouvent au stade de la commination de faillite ou de la saisie. Or, dans la mesure où le recourant ne prétend pas avoir prouvé par titre qu'une des hypothèses indiquées à l'art. 174 al. 2 ch. 1 à 3 LP était réalisée à l'égard de dites poursuites, ce seul fait permet d'exclure sans arbitraire la vraisemblance de la solvabilité (cf. arrêt 5A_640/2011 du 4 janvier 2012 consid. 3.3 i.f.; cf. aussi</w:t>
      </w:r>
    </w:p>
    <w:p>
      <w:r>
        <w:t>supra consid. 3.1.2).</w:t>
      </w:r>
    </w:p>
    <w:p>
      <w:r>
        <w:t>Autant que recevable, la critique du recourant tombe à faux.</w:t>
      </w:r>
    </w:p>
    <w:p>
      <w:r>
        <w:rPr>
          <w:b/>
        </w:rPr>
        <w:t>E. 4</w:t>
      </w:r>
    </w:p>
    <w:p>
      <w:r>
        <w:t>En définitive, le recours est rejeté dans la mesure de sa recevabilité. Le recourant, qui succombe, supportera les frais judiciaires ( art. 66 al. 1 LTF ). Il n'y a pas lieu d'allouer de dépens à l'intimée, qui a uniquement déclaré ne pas s'opposer à l'octroi de l'effet suspensif par simple lettre et qui n'a pas été invitée à répondre sur le fond ( art. 68 al. 1 LTF ).</w:t>
      </w:r>
    </w:p>
    <w:p>
      <w:r>
        <w:t>L'octroi de l'effet suspensif ne se rapporte qu'aux mesures d'exécution, ce qui dispense de fixer à nouveau la date de l'ouverture de la faillite (parmi plusieurs: arrêt 5A_260/2021 du 22 juin 2021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