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5A_1040/2018 vom 28. Dezember 2018</w:t>
      </w:r>
    </w:p>
    <w:p>
      <w:r>
        <w:t>Bundesgericht, 2018-12-28, DE</w:t>
      </w:r>
    </w:p>
    <w:p>
      <w:r>
        <w:rPr>
          <w:b/>
        </w:rPr>
        <w:t xml:space="preserve">Quelle: </w:t>
      </w:r>
      <w:r>
        <w:t>https://mcp.opencaselaw.ch/entscheid/bger_5A_1040_2018</w:t>
      </w:r>
    </w:p>
    <w:p>
      <w:r>
        <w:t>FR: TF 5A_1040/2018 du 28 décembre 2018</w:t>
      </w:r>
    </w:p>
    <w:p>
      <w:r>
        <w:t>IT: TF 5A_1040/2018 del 28 dicembre 2018</w:t>
      </w:r>
    </w:p>
    <w:p>
      <w:pPr>
        <w:pStyle w:val="Heading2"/>
      </w:pPr>
      <w:r>
        <w:t>Erwägungen</w:t>
      </w:r>
    </w:p>
    <w:p>
      <w:r>
        <w:rPr>
          <w:b/>
        </w:rPr>
        <w:t>E. 1</w:t>
      </w:r>
    </w:p>
    <w:p>
      <w:r>
        <w:t>Die Möglichkeit der ausnahmsweisen Fristverlängerung bei aussergewöhnlichem Umfang oder besonderer Schwierigkeit der Beschwerdeführung gemäss Art. 43 BGG betrifft einzig das Gebiet der internationalen Rechtshilfe in Strafsachen.</w:t>
      </w:r>
    </w:p>
    <w:p>
      <w:r>
        <w:t>Vorliegend geht es um die Erteilung der unentgeltlichen Rechtspflege im Zusammenhang mit einer Zivilsache. Diesbezüglich gilt, dass die 30-tägige Beschwerdefrist von Art. 100 Abs. 1 BGG als gesetzliche Frist nicht erstreckt werden kann ( Art. 44 Abs. 1 BGG ).</w:t>
      </w:r>
    </w:p>
    <w:p>
      <w:r>
        <w:rPr>
          <w:b/>
        </w:rPr>
        <w:t>E. 2</w:t>
      </w:r>
    </w:p>
    <w:p>
      <w:r>
        <w:t>Die Beschwerde hat ein Rechtsbegehren in der Sache und eine Begründung zu enthalten ( Art. 42 Abs. 1 BGG ), in welcher in gedrängter Form dargelegt wird, inwiefern der angefochtene Entscheid Recht verletzt ( Art. 42 Abs. 2 BGG ).</w:t>
      </w:r>
    </w:p>
    <w:p>
      <w:r>
        <w:t>Die Beschwerde enthält weder das eine noch das andere, sondern es wird einzig um Einräumung einer Frist nach Art. 43 BGG ersucht.</w:t>
      </w:r>
    </w:p>
    <w:p>
      <w:r>
        <w:rPr>
          <w:b/>
        </w:rPr>
        <w:t>E. 3</w:t>
      </w:r>
    </w:p>
    <w:p>
      <w:r>
        <w:t>Im Übrigen fehlt es auch an einer Beschwer bzw. an einem schutzwürdigen Interesse an der Beschwerdeführung ( Art. 74 Abs. 1 lit. b BGG ), weil das Kantonsgericht dem Ersuchen um unentgeltliche Rechtspflege stattgegeben und das Gesuch gutgeheissen hat.</w:t>
      </w:r>
    </w:p>
    <w:p>
      <w:r>
        <w:rPr>
          <w:b/>
        </w:rPr>
        <w:t>E. 4</w:t>
      </w:r>
    </w:p>
    <w:p>
      <w:r>
        <w:t>Nach dem Gesagten erweist sich die Beschwerde sowohl als offensichtlich unzulässig als auch als offensichtlich nicht hinreichend begründet, weshalb auf sie nicht eingetreten werden kann und der Präsident im vereinfachten Verfahren entscheidet ( Art. 108 Abs. 1 lit. a und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