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103/2023 vom 6. Februar 2023</w:t>
      </w:r>
    </w:p>
    <w:p>
      <w:r>
        <w:t>Bundesgericht, 2023-02-06, DE</w:t>
      </w:r>
    </w:p>
    <w:p>
      <w:r>
        <w:rPr>
          <w:b/>
        </w:rPr>
        <w:t xml:space="preserve">Quelle: </w:t>
      </w:r>
      <w:r>
        <w:t>https://mcp.opencaselaw.ch/entscheid/bger_5A_103_2023</w:t>
      </w:r>
    </w:p>
    <w:p>
      <w:r>
        <w:t>FR: TF 5A 103/2023 du 6 février 2023</w:t>
      </w:r>
    </w:p>
    <w:p>
      <w:r>
        <w:t>IT: TF 5A 103/2023 del 6 febbraio 2023</w:t>
      </w:r>
    </w:p>
    <w:p>
      <w:pPr>
        <w:pStyle w:val="Heading2"/>
      </w:pPr>
      <w:r>
        <w:t>Regeste</w:t>
      </w:r>
    </w:p>
    <w:p>
      <w:r>
        <w:t>Fürsorgerische Unterbringung | Familienrecht</w:t>
      </w:r>
    </w:p>
    <w:p>
      <w:pPr>
        <w:pStyle w:val="Heading2"/>
      </w:pPr>
      <w:r>
        <w:t>Erwägungen</w:t>
      </w:r>
    </w:p>
    <w:p>
      <w:r>
        <w:rPr>
          <w:b/>
        </w:rPr>
        <w:t>E. 1</w:t>
      </w:r>
    </w:p>
    <w:p>
      <w:r>
        <w:t>Der Beschwerdeführer trat am 4. Januar 2023 freiwillig in die Psychiatrische Klinik D.________ ein. Nachdem er den Austritt wünschte, wurde ein Rückbehalt angeordnet. Er verliess die Klinik dennoch, wurde in U.________ angetroffen und war derart auffällig, dass er von Dr. med. B.________ am 4. Januar 2023 ärztlich fürsorgerisch in der Klinik C.________ untergebracht wurde. Am 26. Januar 2023 erhob der Beschwerdeführer Beschwerde an das Kantonsgericht von Graubünden. Mit Entscheid vom 31. Januar 2023 trat das Kantonsgericht auf die Beschwerde wegen Verspätung nicht ein. Die Eingabe leitete es zur Behandlung als Entlassungsgesuch an die Klinik C.________ weiter. Am 1. Februar 2023 hat der Beschwerdeführer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Der vorinstanzlich festgestellte Sachverhalt ist für das Bundesgericht grundsätzlich verbindlich ( Art. 105 Abs. 1 BGG ). Die unrichtige Feststellung des Sachverhalts kann nur unter den Voraussetzungen von Art. 97 Abs. 1 BGG gerügt werden (vgl. BGE 140 III 16 E. 1.3.1; 140 III 264 E. 2.3).</w:t>
      </w:r>
    </w:p>
    <w:p>
      <w:r>
        <w:rPr>
          <w:b/>
        </w:rPr>
        <w:t>E. 3</w:t>
      </w:r>
    </w:p>
    <w:p>
      <w:r>
        <w:t>Der Beschwerdeführer bezeichnet den Nichteintretensentscheid als falsch und illegal. Er macht geltend, er habe die Akten nicht erhalten und er beruft sich auf sein Einsichtsrecht. Soweit sich seine Ausführungen darauf beziehen, dass die kantonale Beschwerde verspätet war, macht er nicht konkret geltend, der ärztliche Unterbringungsentscheid sei ihm nie mitgeteilt worden ( Art. 439 Abs. 2 ZGB ). Was das Akteneinsichtsrecht betrifft, so behauptet er nicht, er habe vor Kantonsgericht um Akteneinsicht ersucht und sie sei ihm verweigert wor-den. Er legt auch nicht dar, was er nach Akteneinsicht in Bezug auf die Verspätung dem Kantonsgericht hätte vortragen wollen. Sodann bezeichnet er den Vorsitzenden des Kantonsgerichts als Mitglied eines Mafia-Clans. Ein Ablehnungsgesuch fehlt und es genügt den Begründungsanforderungen auch nicht, das Kantonsgericht als unfähig, unseriös und kriminell zu bezeichnen. Die Beschwerde enthält damit offensichtlich keine hinreichende Begründung. Auf sie ist im vereinfachten Verfahren durch den Abteilungspräsidenten nicht einzutreten ( Art. 108 Abs. 1 lit. b BGG ).</w:t>
      </w:r>
    </w:p>
    <w:p>
      <w:r>
        <w:rPr>
          <w:b/>
        </w:rPr>
        <w:t>E. 4</w:t>
      </w:r>
    </w:p>
    <w:p>
      <w:r>
        <w:t>Aufgrund der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