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5A_103/2018 vom 6. November 2018</w:t>
      </w:r>
    </w:p>
    <w:p>
      <w:r>
        <w:t>Bundesgericht, 2018-11-06, DE</w:t>
      </w:r>
    </w:p>
    <w:p>
      <w:r>
        <w:rPr>
          <w:b/>
        </w:rPr>
        <w:t xml:space="preserve">Quelle: </w:t>
      </w:r>
      <w:r>
        <w:t>https://mcp.opencaselaw.ch/entscheid/bger_5A_103_2018</w:t>
      </w:r>
    </w:p>
    <w:p>
      <w:r>
        <w:t>FR: TF 5A_103/2018 du 6 novembre 2018</w:t>
      </w:r>
    </w:p>
    <w:p>
      <w:r>
        <w:t>IT: TF 5A_103/2018 del 6 novembre 2018</w:t>
      </w:r>
    </w:p>
    <w:p>
      <w:pPr>
        <w:pStyle w:val="Heading2"/>
      </w:pPr>
      <w:r>
        <w:t>Erwägungen</w:t>
      </w:r>
    </w:p>
    <w:p>
      <w:r>
        <w:rPr>
          <w:b/>
        </w:rPr>
        <w:t>E. 1.1</w:t>
      </w:r>
    </w:p>
    <w:p>
      <w:r>
        <w:t>Die Beschwerden richten sich gegen einen Endentscheid ( Art. 90 BGG ) einer letzten kantonalen Instanz, die als oberes Gericht ( Art. 75 BGG ) über nicht vermögensrechtliche Folgen einer Ehescheidung (elterliche Sorge, persönlicher Verkehr, Beistandschaft, Annäherungsverbot) und damit Zivilsachen nach Art. 72 Abs. 1 BGG ohne Streitwert entschieden hat. Die Beschwerde in Zivilsachen ist das zutreffende Rechtsmittel. Die Parteien sind nach Art. 76 Abs. 1 BGG beschwerdeberechtigt und haben die Beschwerden fristgerecht erhoben (Art. 46 Abs. 1 Bst. c und Art. 100 Abs. 1 BGG ). Auf diese ist grundsätzlich einzutreten.</w:t>
      </w:r>
    </w:p>
    <w:p>
      <w:r>
        <w:rPr>
          <w:b/>
        </w:rPr>
        <w:t>E. 1.2</w:t>
      </w:r>
    </w:p>
    <w:p>
      <w:r>
        <w:t>Die Beschwerden richten sich gegen dasselbe Urteil, betreffen dieselben Parteien und Verhältnisse und es liegt ihnen der nämliche Sachverhalt zugrunde. Es rechtfertigt sich daher, die beiden Verfahren 5A_103/2018 und 5A_111/2018 zu vereinen und in einem einzigen Urteil zu erledigen ( Art. 71 BGG i.V.m. Art. 24 BZP [SR 273]; vgl. BGE 142 II 193 E. 1.2 a.E.; 131 V 59 E. 1). Basierend auf der bisherigen Parteirollenverteilung wird nachfolgend B.________ als Beschwerdeführer und A.A.________ als Beschwerdegegnerin bezeichnet.</w:t>
      </w:r>
    </w:p>
    <w:p>
      <w:r>
        <w:rPr>
          <w:b/>
        </w:rPr>
        <w:t>E. 1.3</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nur klar und detailliert erhobene und, soweit möglich, belegte Rügen, während es auf ungenügend substanziierte Rügen und rein appellatorische Kritik am Sachverhalt nicht eintritt (vgl. zum Ganzen BGE 141 IV 249 E. 1.3.1, 317 E. 5.4; 140 III 264 E. 2.3 S. 266).</w:t>
      </w:r>
    </w:p>
    <w:p>
      <w:r>
        <w:rPr>
          <w:b/>
        </w:rPr>
        <w:t>E. 1.4</w:t>
      </w:r>
    </w:p>
    <w:p>
      <w:r>
        <w:t>Die Beschwerdegegnerin beantragt, es sei dem Sohn für das bundesgerichtliche Verfahren ein Prozessbeistand nach Art. 299 ZPO einzusetzen. Sie verkennt, dass die ZPO sich nur an die kantonalen Gerichte richtet ( Art. 1 ZPO ) und im bundesgerichtlichen Verfahren keine Anwendung findet. Gestützt auf Art. 299 ZPO kann im Verfahren vor dem Bundesgericht daher keine Kindesvertretung bestellt werden. Auch das in diesem Verfahren anwendbare Bundesgerichtsgesetz bietet hierzu keine Grundlage (Urteil 5A_426/2017 vom 16. Februar 2018 E. 1). Die Bezeichnung einer Kindesvertretung ist indes nicht notwendig, da die im kantonalen Verfahren ernannte Vertreterin ihr Amt soweit notwendig auch vor Bundesgericht ausüben kann und sie entsprechend zu entschädigen ist (Urteil 5A_529/2014 vom 18. Februar 2015 E. 8.3). Anlass, wie vom Beschwerdeführer beantragt einen anderen Kindesvertreter zu ernennen, besteht nach dem Ausgeführten ebenso wenig. Zumal der Beschwerdeführer sein Gesuch allein mit dem pauschalen Hinweis darauf begründet, die Vertreterin übernehme zu sehr die Sichtweise der Mutter.</w:t>
      </w:r>
    </w:p>
    <w:p>
      <w:r>
        <w:rPr>
          <w:b/>
        </w:rPr>
        <w:t>E. 2</w:t>
      </w:r>
    </w:p>
    <w:p>
      <w:r>
        <w:t>Der Beschwerdeführer rügt die Übertragung der alleinigen elterlichen Sorge auf die Kindsmutter als bundesrechtswidrig.</w:t>
      </w:r>
    </w:p>
    <w:p>
      <w:r>
        <w:rPr>
          <w:b/>
        </w:rPr>
        <w:t>E. 2.1</w:t>
      </w:r>
    </w:p>
    <w:p>
      <w:r>
        <w:t>Die Kinder stehen, solange sie minderjährig sind, unter der gemeinsamen elterlichen Sorge von Vater und Mutter ( Art. 296 Abs. 2 ZGB ). In einem Scheidungs- oder Eheschutzverfahren überträgt das Gericht einem Elternteil die alleinige Sorge, wenn dies zur Wahrung des Kindeswohls nötig ist ( Art. 298 Abs. 1 ZGB ). Nach der gesetzlichen Konzeption ist damit die gemeinsame elterliche Sorge der Regelfall, von dem nur ausnahmsweise zur Wahrung des Kindeswohls abgewichen werden darf. Eine Alleinzuteilung des Sorgerechts rechtfertigt sich insbesondere, wenn ein schwerwiegender elterlicher Dauerkonflikt oder eine anhaltende Kommunikationsunfähigkeit vorliegt, sich der Mangel negativ auf das Kindeswohl auswirkt und die Alleinzuteilung des Sorgerechts eine Verbesserung der Situation erwarten lässt ( BGE 142 III 1 E. 3.3; 141 III 472 E. 4.6). Auch ohne Vorliegen eines Elternkonfliktes ist die gemeinsame elterliche Sorge nach der Rechtsprechung dort zu verweigern, wo ein Elternteil keinen informationellen und physischen Zugang zum Kind hat. Dies hat seinen Grund darin, dass nur in gemeinsamer Verantwortung grundlegende Entscheide für ein Kind treffen kann, wer dessen Bedürfnisse kennt. Der Elternteil, der über keinen Zugang zum Kind verfügt, kann nicht im Kindeswohl entscheiden, auch nicht in gemeinsamer Sorge ( BGE 142 III 197 [Regeste]; Urteil 5A_214/2017 vom 14. Dezember 2017 E. 4.3).</w:t>
      </w:r>
    </w:p>
    <w:p>
      <w:r>
        <w:rPr>
          <w:b/>
        </w:rPr>
        <w:t>E. 2.2</w:t>
      </w:r>
    </w:p>
    <w:p>
      <w:r>
        <w:t>Der Beschwerdeführer anerkennt, dass er seinen Sohn seit dessen Geburt nicht mehr gesehen hat, und dass sich die Eltern "letztmals vor 7 1/2 Jahren über C.A.________ und ihre Auffassungen über die Erziehung ausgetauscht" haben. Unbestritten hatten die Eltern ausserhalb der Gerichtsverfahren keinen Kontakt miteinander, hatte der Beschwerdeführer keine Möglichkeit zur Kontaktaufnahme mit dem Sohn und versuchte er auch nicht, den Kontakt zu erzwingen. Damit ergibt sich das Bild eines Vaters, der seit Jahren über keinerlei Zugang zum Kind und über keine Informationen über dieses verfügt. Dies bestätigen auch die Kindsmutter und die Kindesvertreterin. Mit Blick auf das Ausgeführte ist es damit nicht zu beanstanden, dass die Vorinstanz vom Grundsatz der gemeinsamen elterlichen Sorge abgewichen ist. Ob ein Elternkonflikt besteht ist dabei nicht entscheidend. Folglich geht es an der Sache vorbei, wenn der Beschwerdeführer unter Hinweis auf den fehlenden Kontakt zwischen den Eltern das Vorliegen eines solchen Konflikts bestreitet. Da Massstab für die Zuteilung des Sorgerechts allein das Kindeswohl ist, spielt weiter keine Rolle, welcher Elternteil das Fehlen des Kontakts zwischen Vater und Sohn zu vertreten hat (vgl. Urteil 5A_412/2015 vom 26. November 2015 E. 8.2). Anders als der Beschwerdeführer meint, bleibt ebenfalls unerheblich, ob er sich in der Schweiz zurecht findet und ob er grundsätzlich in der Lage wäre, die elterliche Sorge auszuüben.</w:t>
      </w:r>
    </w:p>
    <w:p>
      <w:r>
        <w:t>Damit konnte das Kantonsgericht ohne Bundesrechtsverletzung das alleinige Sorgerecht auf die Kindsmutter übertragen und erweist sich die Beschwerde im Verfahren 5A_111/2018 insoweit als unbegründet.</w:t>
      </w:r>
    </w:p>
    <w:p>
      <w:r>
        <w:rPr>
          <w:b/>
        </w:rPr>
        <w:t>E. 3</w:t>
      </w:r>
    </w:p>
    <w:p>
      <w:r>
        <w:t>Strittig ist weiter der persönliche Verkehr zwischen Vater und Sohn.</w:t>
      </w:r>
    </w:p>
    <w:p>
      <w:r>
        <w:rPr>
          <w:b/>
        </w:rPr>
        <w:t>E. 3.1</w:t>
      </w:r>
    </w:p>
    <w:p>
      <w:r>
        <w:t>Die Beschwerdegegnerin macht diesbezüglich eine fehlerhafte Feststellung des Sachverhalts durch das Kantonsgericht geltend. Dieses habe aufgrund der Akten sowie von Stellungnahmen der Kindesvertreterin und der Beiständin Anlass gehabt, gutachterlich abklären zu lassen, ob der Sohn durch das begleitete Besuchsrecht des Vaters gefährdet werde. Indem es dies unterlassen habe, habe es den Untersuchungsgrundsatz und damit auch Art. 274 Abs. 2 ZGB verletzt.</w:t>
      </w:r>
    </w:p>
    <w:p>
      <w:r>
        <w:t>In Kinderbelangen gelten unabhängig von der Art des Verfahrens die Untersuchungs- und die Offizialmaxime ( Art. 296 Abs. 1 und 3 ZPO ). Erstere schreibt dem Gericht vor, den Sachverhalt von Amtes wegen zu erforschen. Die Untersuchungspflicht des Gerichts reicht so weit und dauert so lange, bis über die Tatsachen, die für die Beurteilung des streitigen Anspruchs erforderlich sind, hinreichend Klarheit besteht. Verfügt das Gericht über genügend Grundlagen für eine sachgerechte Entscheidung, kann es auf weitere Beweiserhebungen verzichten ( BGE 130 III 734 E. 2.2.3). Diesfalls braucht es auch zu Fragen des persönlichen Verkehrs kein (weiteres) Gutachten einzuholen (Urteil 5A_505/2013 vom 20. August 2013 E. 5.3, in: FamPra.ch 2013 S. 1045). Wer eine Verletzung der Untersuchungsmaxime geltend macht, muss daher zunächst aufzeigen, dass das Gericht den Sachverhalt willkürlich festgestellt hat (zum Ganzen Urteile 5A_121/2018 vom 23. Mai 2018 E. 7.2; 5A_468/2017 vom 18. Dezember 2017 E. 6.1; 5A_724/2015 vom 2. Juni 2016 E. 4.5, nicht publ. in: BGE 142 I 188 , aber in: FamPra.ch 2016 S. 1079). Diesen Rüge- und Begründungsvoraussetzungen kommt die Beschwerdegegnerin nicht nach, womit auf die Beschwerde insoweit nicht einzutreten ist. Da die Sachverhaltserhebung des Kantonsgerichts nicht zu beanstanden ist, erweist sich auch die in diesem Zusammenhang erhobene Rüge der Verletzung von Art. 274 Abs. 2 ZGB als unbegründet.</w:t>
      </w:r>
    </w:p>
    <w:p>
      <w:r>
        <w:rPr>
          <w:b/>
        </w:rPr>
        <w:t>E. 3.2</w:t>
      </w:r>
    </w:p>
    <w:p>
      <w:r>
        <w:t>Die Beschwerdegegnerin ist auch ansonsten der Ansicht, das Besuchsrecht des Vaters gefährde das Wohl des Sohnes und Verstosse daher gegen Bundesrecht.</w:t>
      </w:r>
    </w:p>
    <w:p>
      <w:r>
        <w:rPr>
          <w:b/>
        </w:rPr>
        <w:t>E. 3.2.1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 BGE 127 III 295 E. 4a; 122 III 404 E. 3a; 120 II 229 E. 3b/aa). Oberste Richtschnur für die Ausgestaltung des persönlichen Verkehrs ist das Kindeswohl, das anhand der Umstände des konkreten Einzelfalles zu beurteilen ist. In diesem Sinn hat der persönliche Verkehr den Zweck, die positive Entwicklung des Kindes zu gewährleisten und zu fördern. Hierbei sind die Beziehungen zu beiden Elternteilen wichtig, da sie bei der Identitätsfindung des Kindes eine entscheidende Rolle spielen können ( BGE 131 III 209 E. 5; 123 III 445 E. 3b; Urteil 5A_968/2016 vom 14. Juni 2017 E. 4.1).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Das Wohl des Kindes ist gefährdet, wenn dessen ungestörte körperliche, seelische oder sittliche Entfaltung durch ein auch nur begrenztes Zusammensein mit dem nicht obhutsberechtigten Elternteil bedroht ist ( BGE 122 III 404 E. 3b; Urteil 5A_497/2017 vom 7. Juni 2018 E. 4.2). Das Besuchsrecht wird nach richterlichem Ermessen festgesetzt ( Art. 4 ZGB ; BGE 131 III 209 E. 3). Bei der Prüfung solcher Ermessensentscheide übt das Bundesgericht eine gewisse Zurückhaltung (vgl. dazu BGE 142 III 617 E. 3.2.5; 141 III 97 E. 11.2).</w:t>
      </w:r>
    </w:p>
    <w:p>
      <w:r>
        <w:rPr>
          <w:b/>
        </w:rPr>
        <w:t>E. 3.2.2</w:t>
      </w:r>
    </w:p>
    <w:p>
      <w:r>
        <w:t>Die Beschwerdegegnerin führt vorab aus, der Beschwerdeführer habe sich im Strafvollzug selbst verletzt ("geritzt"), was mit Blick auf das Kindeswohl einen Risikofaktor darstelle. Mit dieser Darstellung weicht sie von dem durch das Kantonsgericht festgestellten Sachverhalt ab, ohne diesen als offensichtlich unrichtig oder sonst bundesrechtswidrig zu rügen. Hierauf ist nicht weiter einzugehen (vgl. vorne E. 1.3). Weiter verweist die Beschwerdegegnerin auf den kurz nach der Geburt des Sohnes ausgebrochenen Streit zwischen den Eltern, darauf, dass der Beschwerdeführer sie "alleine in der Schweiz" gelassen habe, auf sein "Fehlverhalten gegenüber sämtlichen involvierten Amts- und Rechtspflegepersonen" sowie auf die fehlenden Aufenthaltserlaubnis (vgl. dazu vorne Bst. A.b). Soweit die Beschwerdegegnerin nicht auch insoweit unzulässig von den verbindlichen Sachverhaltsfeststellungen der Vorinstanz abweicht, erschliesst sich aus dieser Darstellung der Beziehung der Eltern untereinander und der allgemeinen Lebenssituation des Beschwerdeführers nicht, inwieweit das begleitete Besuchsrecht das Wohl des Kindes gefährden könnte. Dies wird von der Beschwerdegegnerin auch nicht weiter ausgeführt. Schon gar keine Rede kann davon sein, es lägen "auf Seiten des Kindeswohls mehrere bekannte Risikofaktoren vor, die die Wahrscheinlichkeit einer Kindeswohlgefährdung [...] exponentiell erhöht." Keine Rolle spielt weiter, dass die Beschwerdegegnerin "allein und alleinerziehend" ist und der Beschwerdeführer sich bisher nicht um das Kind kümmern konnte, was unbestritten ist. Für die Frage des persönlichen Verkehrs zwischen Vater und Sohn ebenso unerheblich ist die Erziehungsfähigkeit der Kindsmutter. Der in diesem Zusammenhang gestellte Antrag des Beschwerdeführers auf Abklärung von deren Erziehungsfähigkeit wird deshalb abgewiesen.</w:t>
      </w:r>
    </w:p>
    <w:p>
      <w:r>
        <w:rPr>
          <w:b/>
        </w:rPr>
        <w:t>E. 3.2.3</w:t>
      </w:r>
    </w:p>
    <w:p>
      <w:r>
        <w:t>Die Beschwerdegegnerin führt weiter aus, der Sohn gehe offen auf fremde Personen zu, was ihn beim Aufbau persönlicher Beziehungen zum Vater verletzlich mache. Wie bereits vor Kantonsgericht legt sie indes nicht dar, weshalb hierin eine Gefahr für das Kind liegen sollte. Eine Kindeswohlgefährdung sieht die Beschwerdegegnerin sodann im Zusammenhang mit dem Gesundheitszustand des Sohns. Eine Kontaktaufnahme zwischen Vater und Sohn dürfe nur in Begleitung einer mit Trisomie 21 erfahrenen Person erfolgen. Hiervon geht freilich auch die Vorinstanz aus, welche die Begleitung des Besuchsrechts gerade anordnete, um eine angemessene Begleitung und Unterstützung des Kindes zu ermöglichen. Damit wird auch den von der Kindesvertreterin - diese sieht ein begleitetes Besuchsrecht grundsätzlich als "möglich" an - geäusserten Bedenken Rechnung getragen. Im Übrigen bestehen ohnehin keine Anzeichen, dass der Beschwerdeführer - eigenen unbestritten gebliebenen Aussagen zufolge ein ausgebildeter Physiotherapeut - nicht in der Lage sein könnte, mit der Beeinträchtigung seines Sohnes umzugehen. Soweit auf sie einzutreten ist, erweist sich die Beschwerde im Verfahren 5A_103/2018 damit als unbegründet.</w:t>
      </w:r>
    </w:p>
    <w:p>
      <w:r>
        <w:rPr>
          <w:b/>
        </w:rPr>
        <w:t>E. 3.3</w:t>
      </w:r>
    </w:p>
    <w:p>
      <w:r>
        <w:t>Der Beschwerdeführer beanstandet, dass die Vorinstanz ihm auf unbestimmte Zeit nur ein begleitetes Besuchs- und kein Ferienrecht zugestanden hat. Es sei unbestritten, dass von ihm keine Gefahr für das Kind ausgehe. Er spreche Deutsch und habe sich in die hiesigen Verhältnisse integriert. Sein Aufenthaltsstatus werde sich demnächst ändern und in absehbarer Zeit werde er über eine für Besuche geeignete Wohnung und Infrastruktur verfügen. Daher sei ihm nach einer Eingewöhnungsphase ab dem 8. Altersjahr des Kindes ein normales, gerichtsübliches Besuchs- und Ferienrecht einzuräumen.</w:t>
      </w:r>
    </w:p>
    <w:p>
      <w:r>
        <w:rPr>
          <w:b/>
        </w:rPr>
        <w:t>E. 3.3.1</w:t>
      </w:r>
    </w:p>
    <w:p>
      <w:r>
        <w:t>Im Rahmen einer Ehescheidung ist grundsätzlich eine auf Dauer ausgelegte Regelung des persönlichen Verkehrs zwischen dem nicht betreuenden Elternteil und dem Kind zu treffen, auch wenn diese im Bedarfsfall später abgeändert werden muss ( BGE 130 III 585 E. 2.2.2; Urteil 5A_482/2007 vom 17. Dezember 2007 E. 5.2.2, in: FamPra.ch 2008 S. 424). Dabei ist für die Ausgestaltung des persönlichen Verkehrs das anhand der Umstände des konkreten Falls bestimmte Kindeswohl oberste Richtschnur (vgl. E. 3.2.1 hiervor). Zu berücksichtigen sind auch die Verhältnisse beim besuchsberechtigten Elternteil, namentlich die Wohnverhältnisse (SCHWENZER/COTTIER, in: Basler Kommentar, Zivilgesetzbuch II, 5. Aufl. 2014, N. 10 zu Art. 273 ZGB ; CYRIL HEGNAUER, Berner Kommentar, 1997, N. 65 ff. zu Art. 273 ZGB ). Anerkannt ist ebenfalls, dass für das Kind die Beziehung zu beiden Elternteilen von eminenter Bedeutung ist. Es gilt eine Stigmatisierung des nicht obhutsberechtigten Elternteils in den Augen des Kindes zu verhindern und zu versuchen, eine Normalisierung der Beziehungen herbeizuführen ( BGE 131 III 209 E. 5; Urteil 5A_459/2015 vom 13. August 2015 E. 6.2.2, in: Pra 2017 Nr. 19 S. 186). Unter Umständen kann es angezeigt sein, dort anfänglich (und damit grundsätzlich vorübergehend; dazu Urteile 5A_334/2018 vom 7. August 2018 E. 3.1; 5A_618/2017 vom 2. Februar 2018 E. 4.2) ein bloss begleitetes Besuchsrecht vorzusehen, wo eine behutsame Wiederannäherung zwischen dem nicht obhutsberechtigten Elternteil und dem Kind sichergestellt werden soll, bevor es dann zu einer Lockerung (Aufhebung der Begleitung) und Ausdehnung (in zeitlicher Hinsicht) hin zu einem gerichtsüblichen Besuchsrecht kommt (vgl. BGE 130 III 558 E. 2.2.2; Urteil 5A_505/2013 vom 20. August 2013 E. 6.3, in: FamPra.ch 2013 S. 1045).</w:t>
      </w:r>
    </w:p>
    <w:p>
      <w:r>
        <w:rPr>
          <w:b/>
        </w:rPr>
        <w:t>E. 3.3.2</w:t>
      </w:r>
    </w:p>
    <w:p>
      <w:r>
        <w:t>Damit ist es möglich, bereits im Scheidungsurteil eine spätere Ausweitung des vorerst begleiteten Besuchsrechts vorzusehen, wie der Beschwerdeführer dies vorliegend beantragt. Für diese Lösung spricht, dass das Kantonsgericht das begleitete Besuchsrecht auch (d.h. nebst der gesundheitlichen Problematik; E. 3.2.3 hiervor) anordnete, weil es an einer Vater-Sohn-Beziehung derzeit vollständig fehle. Im Falle der erfolgreichen Durchführung der begleiteten Besuche wird sich dieser Mangel mit der Zeit ausgleichen, womit eine Ausdehnung des Besuchsrechts nach einer Übergangsphase ins Auge zu fassen ist. Nach Einschätzung des Kantonsgerichts besteht denn auch nicht mehr die Gefahr, dass der Beschwerdeführer den Sohn in seine Heimat entführen könnte. Indessen verfügt der Beschwerdeführer, was er nicht bestreitet und worauf auch die Beschwerdegegnerin und die Kindesvertreterin verweisen, derzeit weder über einen geregelten Aufenthaltsstatus noch einen festen Wohnort. Zwar macht er geltend, er sei im Begriff, seine Verhältnisse zu regeln und er werde in absehbarer Zeit über eine geeignete Wohnung und eine feste Infrastruktur verfügen. Abgesehen davon, dass diese echten Noven im bundesgerichtlichen Verfahren nicht beachtlich sind (vgl. BGE 139 III 120 E. 3.1.2; 133 IV 342 E. 2.1), ist zum jetzigen Zeitpunkt indessen nicht absehbar, ob die vom Beschwerdeführer erhoffte Entwicklung eintreten wird, zumal er in seinen Ausführungen sehr vage bleibt. Damit fehlt es auf nicht absehbare Zeit an den tatsächlichen Voraussetzungen für die Ausübung des (für die Zeit nach dem 7. November 2018) beantragten Besuchs- und Ferienrechts (vgl. Rechtsbegehren, Ziffer 2: "das Recht einzuräumen sei, seinen Sohn [...] zu sich auf Besuch zu nehmen"). Unter diesen Umständen ist es mit Blick auf das Ermessen der Vorinstanz nicht zu beanstanden, dass diese davon abgesehen hat, bereits heute eine spätere Anpassung des Besuchsrechts vorzusehen. Um diese kann der Beschwerdeführer sich bemühen, sobald sich seine Verhältnisse stabilisiert haben. Die Beschwerde im Verfahren 5A_111/2018 erweist sich damit insoweit als unbegründet.</w:t>
      </w:r>
    </w:p>
    <w:p>
      <w:r>
        <w:rPr>
          <w:b/>
        </w:rPr>
        <w:t>E. 4</w:t>
      </w:r>
    </w:p>
    <w:p>
      <w:r>
        <w:t>Der Beschwerdeführer wendet sich schliesslich gegen das ihm auferlegte Verbot, sich dem Sohn und dessen Wohnort anzunähern.</w:t>
      </w:r>
    </w:p>
    <w:p>
      <w:r>
        <w:rPr>
          <w:b/>
        </w:rPr>
        <w:t>E. 4.1</w:t>
      </w:r>
    </w:p>
    <w:p>
      <w:r>
        <w:t>Das Kantonsgericht erwägt, das Verbot lasse sich nicht auf Art. 28b ZGB stützen, da eine Persönlichkeitsverletzung weder erfolgt noch zu befürchten sei. Das Annäherungsverbot könne aber als Kindesschutzmassnahme zum Schutz des Sohnes davor verfügt werden, dem Beschwerdeführer unvorbereitet ausserhalb des von der Beiständin vorgegebenen Rahmens zu begegnen, womit der Sohn - er leidet an Trisomie 21 - überfordert wäre. Auch erlaube es Art. 274 Abs. 2 ZGB , das Besuchsrecht zum Schutz des Kindes mit Auflagen zu verknüpfen. Das Verbot trage zur Beruhigung der Situation bei und stelle sicher, dass die Kontakte zwischen Vater und Sohn im begleiteten Rahmen erfolgen und nicht eigenmächtig von Ersterem erzwungen würden. Die mit dem Kontaktverbot verbundene Einschränkung der persönlichen Freiheit des Beschwerdeführers halte sich sodann in Grenzen, da dieser sich zumeist in U.________ oder V.________ aufhalte. Das Verbot gelte selbstredend nur ausserhalb der begleiteten Besuchskontakte. Auch die Beschwerdegegnerin und die Kindesvertreterin sind der Ansicht, dass der Beschwerdeführer in seiner persönlichen Freiheit bzw. Bewegungsfreiheit nicht bzw. nur marginal beeinträchtigt sei. Letztere betont ausserdem, die Interessen des Kindes an der Aufrechterhaltung des Kontaktverbots seien gewichtiger als diejenigen des Beschwerdeführers an dessen Aufhebung.</w:t>
      </w:r>
    </w:p>
    <w:p>
      <w:r>
        <w:rPr>
          <w:b/>
        </w:rPr>
        <w:t>E. 4.2</w:t>
      </w:r>
    </w:p>
    <w:p>
      <w:r>
        <w:t>Was der Beschwerdeführer vorbringt, vermag den angefochtenen Entscheid nicht als rechtsfehlerhaft erscheinen zu lassen:</w:t>
      </w:r>
    </w:p>
    <w:p>
      <w:r>
        <w:rPr>
          <w:b/>
        </w:rPr>
        <w:t>E. 4.2.1</w:t>
      </w:r>
    </w:p>
    <w:p>
      <w:r>
        <w:t>An der Sache vorbei zielt vorab sein Einwand, das Annäherungsverbot stehe in diametralem Widerspruch zu dem ihm zugestandenen Besuchsrecht. Wie das Kantonsgericht richtig festhält, gilt das Annäherungsverbot nur ausserhalb der Besuchskontakte, sodass sich insoweit kein Konflikt ergibt.</w:t>
      </w:r>
    </w:p>
    <w:p>
      <w:r>
        <w:rPr>
          <w:b/>
        </w:rPr>
        <w:t>E. 4.2.2</w:t>
      </w:r>
    </w:p>
    <w:p>
      <w:r>
        <w:t>Der Beschwerdeführer rügt sodann, das Verbot sei unverhältnismässig und unnötig. Von ihm gehe für das Kind keine Gefahr aus und insbesondere bestehe keine Entführungsgefahr. Auch seien keine Anzeichen vorhanden, dass der Beschwerdeführer sein Besuchsrecht eigenmächtig wahrnehmen oder sich nicht an dessen zeitliche Begrenzung halten könnte. Damit bestehe keine Gefahr einer unvorbereiteten Begegnung.</w:t>
      </w:r>
    </w:p>
    <w:p>
      <w:r>
        <w:t>Jede Kindesschutzmassnahme setzt eine Gefährdung des Kindeswohls voraus und muss verhältnismässig sein ( Art. 307 Abs. 1 ZGB ; BGE 140 III 241 E. 2.1; Urteile 5A_765/2016 vom 18. Juli 2017 E. 3.1, in: FamPra.ch 2017 S. 1142; 5A_656/2016 vom 14. März 2017 E. 4). Dasselbe gilt für Massnahmen im Zusammenhang mit dem Besuchsrecht ( Art. 273 Abs. 2 und Art. 274 Abs. 2 ZGB ; vorne E. 3.2.1 und die dortigen Hinweise). Der Beschwerdeführer beanstandet die tatsächliche Feststellung des Kantonsgerichts nicht (vgl. Art. 106 Abs. 2 BGG ), wonach der Sohn durch eine Begegnung ausserhalb der von der Beiständin vorbereiteten Besuchskontakte überfordert wäre. Das Kantonsgericht konnte daher zum Schluss gelangen, es sei zum Schutz des Kindes notwendig, die Gefahr derartiger Begegnungen auszuschliessen. Zwar weist der Beschwerdeführer darauf hin, dass sein bisheriges Verhalten die Wahrscheinlichkeit derartiger Begegnungen nicht als allzu hoch erscheinen lässt (vgl. vorne E. 2.2). Dennoch ist mit Blick auf das dem Kantonsgericht im Einzelfall zukommende Ermessen (vgl. vorne E. 3.2.1; Urteil 5A_765/2016 vom 18. Juli 2017 E. 3.4, in: FamPra.ch 2017 S. 1142) nicht zu beanstanden, wenn es angesichts des bisherigen Verfahrensverlaufs und des wenig einsichtigen Verhaltens der Parteien zum Schluss gelangte, die Gefahr von Begegnungen ausserhalb der Besuchskontakte könne nicht gänzlich ausgeschlossen werden. Die verfügte Massnahme kann daher nicht als unnötig bezeichnet werden. Das Annäherungsverbot erweist sich sodann auch insgesamt als verhältnismässig, da unbestritten geblieben ist, dass der Beschwerdeführer sich zumeist in U.________ oder V.________ aufhält, durch das für den Wohnort des Kindes im Kanton Graubünden verfügte Annäherungsverbot daher kaum beeinträchtigt wird.</w:t>
      </w:r>
    </w:p>
    <w:p>
      <w:r>
        <w:rPr>
          <w:b/>
        </w:rPr>
        <w:t>E. 4.2.3</w:t>
      </w:r>
    </w:p>
    <w:p>
      <w:r>
        <w:t>Wie der Beschwerdeführer richtig ausführt, ist im vorliegenden Zusammenhang unerheblich, ob die Beschwerdegegnerin den Kontakt zu ihm aufrechterhalten will. Hierauf ist daher nicht weiter einzugehen. Ebenfalls unerheblich bleibt, ob ein Annäherungsverbot auch gestützt auf Art. 28b ZGB verfügt werden könnte. Selbst wenn die kantonalen Instanzen die verfügte Massnahme ursprünglich auf diese Bestimmung gestützt haben sollten, steht dies sodann dem Erlass der Massnahme aus Überlegungen des Kindesschutzes nicht entgegen.</w:t>
      </w:r>
    </w:p>
    <w:p>
      <w:r>
        <w:rPr>
          <w:b/>
        </w:rPr>
        <w:t>E. 4.3</w:t>
      </w:r>
    </w:p>
    <w:p>
      <w:r>
        <w:t>Damit ist das angefochtene Urteil auch mit Blick auf das Annäherungsverbot nicht zu beanstanden und die Beschwerde im Verfahren 5A_111/2018 erweist sich auch insoweit als unbegründet. Unerheblich bleiben die persönlichen Wahrnehmungen des Rechtsvertreters des Beschwerdeführers, weshalb nicht zu klären ist, ob es sich bei diesen um unzulässige Noven (vgl. Art. 99 BGG ) handelt, wie die Beschwerdegegnerin dies geltend macht.</w:t>
      </w:r>
    </w:p>
    <w:p>
      <w:r>
        <w:rPr>
          <w:b/>
        </w:rPr>
        <w:t>E. 5.1</w:t>
      </w:r>
    </w:p>
    <w:p>
      <w:r>
        <w:t>Zusammenfassend ist die Beschwerde im Verfahren 5A_103/2018 abzuweisen, soweit darauf einzutreten ist. Die Beschwerde im Verfahren 5A_111/2018 ist abzuweisen.</w:t>
      </w:r>
    </w:p>
    <w:p>
      <w:r>
        <w:rPr>
          <w:b/>
        </w:rPr>
        <w:t>E. 5.2</w:t>
      </w:r>
    </w:p>
    <w:p>
      <w:r>
        <w:t>Bei diesem Ausgang des Verfahrens sind die Gerichtskosten den Parteien je zur Hälfte aufzuerlegen ( Art. 66 Abs. 1 BGG ) und sind die Parteikosten wettzuschlagen ( Art. 68 Abs. 1 BGG ). Anlass, die Kosten gestützt auf Art. 66 Abs. 3 BGG abweichend zu verlegen, wie die Beschwerdegegnerin dies beantragt, besteht nicht.</w:t>
      </w:r>
    </w:p>
    <w:p>
      <w:r>
        <w:t>Beide Parteien ersuchen für das bundesgerichtliche Verfahren allerdings um unentgeltliche Rechtspflege und Beiordnung ihrer Anwälte als unentgeltliche Rechtsvertreter. Die diesbezüglichen Voraussetzungen sind erfüllt ( Art. 64 Abs. 1 und 2 BGG ). Beide Parteien sind aktenkundig mittellos und ihre Beschwerden können nicht als geradezu aussichtslos qualifiziert werden. Ausserdem erscheint eine anwaltliche Vertretung zur Wahrung ihrer Rechte als notwendig. Damit sind die Gesuche um unentgeltliche Rechtspflege gutzuheissen und die Gerichtskosten sowie die Entschädigung der unentgeltlichen Rechtsvertreter und der Kindesvertreterin sind auf die Bundesgerichtskasse zu nehmen. Die Parteien werden darauf hingewiesen, dass sie dieser Ersatz zu leisten haben, falls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