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5A_1039/2018 vom 28. Dezember 2018</w:t>
      </w:r>
    </w:p>
    <w:p>
      <w:r>
        <w:t>Bundesgericht, 2018-12-28, DE</w:t>
      </w:r>
    </w:p>
    <w:p>
      <w:r>
        <w:rPr>
          <w:b/>
        </w:rPr>
        <w:t xml:space="preserve">Quelle: </w:t>
      </w:r>
      <w:r>
        <w:t>https://mcp.opencaselaw.ch/entscheid/bger_5A_1039_2018</w:t>
      </w:r>
    </w:p>
    <w:p>
      <w:r>
        <w:t>FR: TF 5A_1039/2018 du 28 décembre 2018</w:t>
      </w:r>
    </w:p>
    <w:p>
      <w:r>
        <w:t>IT: TF 5A_1039/2018 del 28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Möglichkeit der ausnahmsweisen Fristverlängerung bei aussergewöhnlichem Umfang oder besonderer Schwierigkeit der Beschwerdeführung gemäss Art. 43 BGG betrifft einzig das Gebiet der internationalen Rechtshilfe in Strafsachen.</w:t>
      </w:r>
    </w:p>
    <w:p>
      <w:r>
        <w:t>Vorliegend geht es um die Regelung von Kindesbelangen und damit um eine Zivilsache. Diesbezüglich gilt, dass die 30-tägige Beschwerdefrist von Art. 100 Abs. 1 BGG als gesetzliche Frist nicht erstreckt werden kann ( Art. 44 Abs. 1 BGG ).</w:t>
      </w:r>
    </w:p>
    <w:p>
      <w:r>
        <w:rPr>
          <w:b/>
        </w:rPr>
        <w:t>E. 2</w:t>
      </w:r>
    </w:p>
    <w:p>
      <w:r>
        <w:t>Die Beschwerde hat ein Rechtsbegehren in der Sache und eine Begründung zu enthalten ( Art. 42 Abs. 1 BGG ), in welcher in gedrängter Form dargelegt wird, inwiefern der angefochtene Entscheid Recht verletzt ( Art. 42 Abs. 2 BGG ).</w:t>
      </w:r>
    </w:p>
    <w:p>
      <w:r>
        <w:t>Die Beschwerde enthält weder das eine noch das andere, sondern es wird einzig um Einräumung einer Frist nach Art. 43 BGG ersucht.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