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5A_1036/2025 vom 18. Dezember 2025</w:t>
      </w:r>
    </w:p>
    <w:p>
      <w:r>
        <w:t>Bundesgericht, 2025-12-18, FR</w:t>
      </w:r>
    </w:p>
    <w:p>
      <w:r>
        <w:rPr>
          <w:b/>
        </w:rPr>
        <w:t xml:space="preserve">Quelle: </w:t>
      </w:r>
      <w:r>
        <w:t>https://mcp.opencaselaw.ch/entscheid/bger_5A_1036_2025</w:t>
      </w:r>
    </w:p>
    <w:p>
      <w:r>
        <w:t>FR: TF 5A_1036/2025 du 18 décembre 2025</w:t>
      </w:r>
    </w:p>
    <w:p>
      <w:r>
        <w:t>IT: TF 5A_1036/2025 del 18 dicembre 2025</w:t>
      </w:r>
    </w:p>
    <w:p>
      <w:pPr>
        <w:pStyle w:val="Heading2"/>
      </w:pPr>
      <w:r>
        <w:t>Erwägungen</w:t>
      </w:r>
    </w:p>
    <w:p>
      <w:r>
        <w:rPr>
          <w:b/>
        </w:rPr>
        <w:t>E. 1</w:t>
      </w:r>
    </w:p>
    <w:p>
      <w:r>
        <w:t>Le Tribunal fédéral examine d'office et librement la recevabilité des recours dont il est saisi ( ATF 151 IV 98 consid. 1 et les arrêts cités).</w:t>
      </w:r>
    </w:p>
    <w:p>
      <w:r>
        <w:rPr>
          <w:b/>
        </w:rPr>
        <w:t>E. 1.1</w:t>
      </w:r>
    </w:p>
    <w:p>
      <w:r>
        <w:t>Le recours est dirigé contre une décision rendue en matière civile ( art. 72 al. 1 LTF ) relative à l'octroi de l'effet suspensif, à savoir contre une décision incidente, qui ne concerne ni la compétence ni une demande de récusation (cf. art. 92 LTF ), et qui tombe ainsi sous le coup de l' art. 93 LTF ( ATF 138 III 378 consid. 1.1; 137 III 475 consid. 1).</w:t>
      </w:r>
    </w:p>
    <w:p>
      <w:r>
        <w:t>Le recourant affirme que la décision entreprise serait susceptible de lui causer un dommage irréparable ( art. 93 al. 1 let. a LTF ) en tant qu'une fois le départ de l'enfant autorisé, un retour forcé de celui-ci serait "matériellement impossible". Il faut en effet admettre que l'exécution immédiate du ch. 3 de l'ordonnance rendue le 4 septembre 2025 par le tribunal de protection aura pour conséquence de permettre le déplacement de la résidence de l'enfant en France et ainsi la perte de compétence des autorités suisses (art. 5 al. 2 de la Convention concernant la compétence, la loi applicable, la reconnaissance, l'exécution et la coopération en matière de responsabilité parentale et de mesures de protection des enfants [ci-après: CLaH96; RS 0.211.231.011], convention en vigueur en Suisse et en France; cf. également</w:t>
      </w:r>
    </w:p>
    <w:p>
      <w:r>
        <w:t>infra consid. 3.3); le recourant ne pourra ainsi obtenir de décision au fond sur le recours déposé à l'encontre de l'ordonnance précitée, circonstance qui permet d'admettre que la condition du préjudice irréparable est bien réalisée.</w:t>
      </w:r>
    </w:p>
    <w:p>
      <w:r>
        <w:rPr>
          <w:b/>
        </w:rPr>
        <w:t>E. 1.2</w:t>
      </w:r>
    </w:p>
    <w:p>
      <w:r>
        <w:t>Dans ses déterminations sur la requête d'effet suspensif assortissant le recours, la curatrice de l'enfant relève que le domicile de celui-ci aurait été déplacé à U.________ en date du 12 décembre 2025, conformément à l'autorisation octroyée par la Cour de justice le 7 novembre 2025; elle en déduit que le recours aurait ainsi perdu son objet (cf.</w:t>
      </w:r>
    </w:p>
    <w:p>
      <w:r>
        <w:t>supra let. C.b). Dans une écriture spontanée postérieure à l'échéance du délai de recours, le recourant paraît confirmer cette information (cf.</w:t>
      </w:r>
    </w:p>
    <w:p>
      <w:r>
        <w:t>supra let. C.c).</w:t>
      </w:r>
    </w:p>
    <w:p>
      <w:r>
        <w:t>À supposer avéré, cet élément factuel ne conduit cependant pas à la perte d'objet du recours. Vu l'ordonnance de la Cour de céans du 1er décembre 2025 octroyant au recours l'effet suspensif à titre superprovisionnel (cf.</w:t>
      </w:r>
    </w:p>
    <w:p>
      <w:r>
        <w:t>supra let. D), le prétendu déplacement de l'enfant en France revêtirait alors un caractère illicite (art. 7 al. 2 CLaH96). La compétence des autorités suisses serait ainsi maintenue pour statuer sur le refus de l'autorité cantonale d'octroyer l'effet suspensif au ch. 3 du dispositif de l'ordonnance du tribunal de protection (art. 7 al. 1 ClaH96), cas échéant pour valider</w:t>
      </w:r>
    </w:p>
    <w:p>
      <w:r>
        <w:t>a posteriori ledit déplacement (cf.</w:t>
      </w:r>
    </w:p>
    <w:p>
      <w:r>
        <w:t>infra consid. 5). Le recourant, qui a pris part à la procédure devant l'autorité précédente ( art. 76 al. 1 let. a LTF ) dispose ainsi toujours d'un intérêt digne de protection au recours ( art. 76 al. 1 let. b LTF ).</w:t>
      </w:r>
    </w:p>
    <w:p>
      <w:r>
        <w:rPr>
          <w:b/>
        </w:rPr>
        <w:t>E. 1.3</w:t>
      </w:r>
    </w:p>
    <w:p>
      <w:r>
        <w:t>Les autres conditions de recevabilité du recours en matière civile sont ici réalisées ( art. 75 al. 2 LTF [ ATF 143 III 140 consid. 1.2; 137 III 475 consid. 1] et 100 al. 1 LTF); le recours constitutionnel subsidiaire est ainsi irrecevable ( art. 113 LTF ).</w:t>
      </w:r>
    </w:p>
    <w:p>
      <w:r>
        <w:rPr>
          <w:b/>
        </w:rPr>
        <w:t>E. 2.1</w:t>
      </w:r>
    </w:p>
    <w:p>
      <w:r>
        <w:t>La décision accordant l'effet suspensif, comme celle d'exécution provisoire ou de retrait de l'effet suspensif ( ATF 137 III 475 consid. 2; arrêt 5A_423/2023 du 23 août 2023 consid. 2.1), est une décision de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3</w:t>
      </w:r>
    </w:p>
    <w:p>
      <w:r>
        <w:t>Le recourant affirme que l'intérêt de l'enfant ne commanderait aucunement son départ à U.________, contrairement à ce que retenait arbitrairement l'autorité cantonale; il invoque dans cette perspective l'application arbitraire des art. 450c et 314 al. 1 CC et se prévaut dans ce contexte de l'arbitraire dans l'établissement des faits et l'appréciation des preuves. Il souligne par ailleurs que la décision cantonale aurait pour conséquence de le priver d'un droit de recours au fond, ce en violation des art. 29 al. 2 Cst. et 6 CEDH. Ces différents griefs, qui sont en définitive liés (cf.</w:t>
      </w:r>
    </w:p>
    <w:p>
      <w:r>
        <w:t>infra consid. 3.3), feront l'objet d'une motivation commune.</w:t>
      </w:r>
    </w:p>
    <w:p>
      <w:r>
        <w:t>Il ne sera en revanche pas entré en matière sur la violation des art. 8 et 13 CEDH , à défaut de toute motivation idoine (cf.</w:t>
      </w:r>
    </w:p>
    <w:p>
      <w:r>
        <w:t>supra consid. 2.1).</w:t>
      </w:r>
    </w:p>
    <w:p>
      <w:r>
        <w:rPr>
          <w:b/>
        </w:rPr>
        <w:t>E. 3.1</w:t>
      </w:r>
    </w:p>
    <w:p>
      <w:r>
        <w:t>L'autorité cantonale a considéré qu'il était dans l'intérêt du mineur que l'effet suspensif ne fût pas restitué au chiffre 3 du dispositif de l'ordonnance rendue par le tribunal de protection le 4 septembre 2025, suivant en cela les recommandations des curateurs du SPMi et de sa curatrice de représentation. À l'appui de cette conclusion, la juge cantonale a indiqué que la mère et son fils avaient fait l'objet d'une évacuation de leur logement; ils étaient désormais logés dans un hôtel d'urgence alors que l'intimée disposait pourtant à U.________ d'un appartement, certes petit, mais bien adapté aux besoins spécifiques du mineur; celui-ci y avait déjà séjourné, et semblait y être plus apaisé, aux dires de sa mère. La juge cantonale a ensuite souligné qu'à V.________ (Suisse), l'enfant ne bénéficiait plus d'aucune prise en charge thérapeutique, l'Office médico-pédagogique ayant supprimé les suivis de logopédie et de psychomotricité depuis quelques temps déjà. De telles prises en charge, conformes à son intérêt, pourraient être obtenues en France, où l'enfant pourrait également bénéficier de l'aide d'une auxiliaire de vie scolaire (AVS). À cela s'ajoutait que l'enfant n'était plus scolarisé à V.________ et qu'il devait prochainement passer en France une évaluation afin de déterminer la prise en charge la plus adéquate à ses besoins par la Maison départementale des personnes handicapées (MDPH).</w:t>
      </w:r>
    </w:p>
    <w:p>
      <w:r>
        <w:rPr>
          <w:b/>
        </w:rPr>
        <w:t>E. 3.2</w:t>
      </w:r>
    </w:p>
    <w:p>
      <w:r>
        <w:t>Le recourant estime que le refus de l'autorité cantonale de restituer l'effet suspensif procéderait de l'arbitraire. Il soutient d'abord que, contrairement à ce que retenait arbitrairement la juge cantonale, les conditions de vie de son fils en France n'étaient pas établies, ni conformes à son intérêt. L'intimée ne bénéficiait à U.________ que d'un logement précaire (14 m², bail à durée limitée), aucunement adapté à son fils, alors qu'elle pourrait trouver à V.________ des solutions plus favorables moyennant sa bonne volonté; la prise en charge adéquate de son fils était arbitrairement retenue par l'autorité cantonale sur la base des seules démarches effectuées par l'intimée, lesquelles ne constituaient pas une garantie suffisante à cet égard. Dans une seconde partie de son argumentation, le recourant souligne que le déménagement de son fils en France le priverait d'un droit de recours effectif et de son droit d'être entendu, vu la perte de compétence des autorités judiciaires suisses que ce déplacement entraînerait. Cette circonstance serait d'autant plus choquante que le tribunal de protection aurait violé son droit d'être entendu en omettant de lui communiquer les déterminations de l'intimée, du SPMi et de la curatrice de l'enfant avant de rendre sa décision au fond.</w:t>
      </w:r>
    </w:p>
    <w:p>
      <w:r>
        <w:rPr>
          <w:b/>
        </w:rPr>
        <w:t>E. 3.3</w:t>
      </w:r>
    </w:p>
    <w:p>
      <w:r>
        <w:t>Lorsqu'un recours est interjeté devant l'instance judiciaire de recours compétente en matière de protection de l'enfant, l' art. 450c CC prévoit, par renvoi de l' art. 314 al. 1 CC , que celui-ci est suspensif, à moins que l'autorité de protection ou l'instance judiciaire de recours n'en décide autrement.</w:t>
      </w:r>
    </w:p>
    <w:p>
      <w:r>
        <w:rPr>
          <w:b/>
        </w:rPr>
        <w:t>E. 3.3.1</w:t>
      </w:r>
    </w:p>
    <w:p>
      <w:r>
        <w:t>La jurisprudence a développé certains principes relatifs à la réglementation de l'effet suspensif dans le contexte de procédures de recours portant sur le changement du lieu de résidence d'un enfant ( ATF 144 III 469 consid. 4.2). S'il convient en la matière de peser avec discernement les intérêts en jeu dans chaque cas concret, en tenant compte principalement des prévisions relatives à l'affaire principale ( ATF 144 III 469 consid. 4.2; arrêt 5A_598/2025 du 6 août 2025 consid. 3), il a singulièrement été décidé que la restitution de l'effet suspensif ne doit être refusée qu'avec retenue lorsque ce refus a pour conséquence de permettre le déplacement d'un enfant à l'étranger et ce, indépendamment de la situation de garde prévalant jusqu'alors ( ATF 144 III 469 consid. 4.2.2; 143 III 193 consid. 4). Dans l'hypothèse où ce déplacement s'effectue dans un État partie - comme ici la France - à la CLaH96, les autorités de l'État de la nouvelle résidence habituelle de l'enfant sont alors compétentes pour prendre les mesures de protection de sa personne ou de ses biens, sous réserve d'un déplacement ou non-retour illicite de l'enfant au sens de l'art. 7 CLaH96 (art. 5 al. 2 CLaH96; cf. également</w:t>
      </w:r>
    </w:p>
    <w:p>
      <w:r>
        <w:t>supra consid. 1.1 et 1.2). Ce même effet se produit lorsque le transfert de la résidence habituelle dans un autre État contractant s'effectue postérieurement au commencement de la procédure, même si l'instance est pendante en appel, c'est-à-dire devant une autorité pouvant revoir la cause tant en fait qu'en droit. Cette autorité perd alors la compétence pour statuer sur les mesures de protection ( ATF 149 III 81 consid. 2.4; 143 III 193 consid. 2), ce qui explique la retenue particulière dont il convient de faire preuve en décidant de retirer l'effet suspensif ( ATF 144 III 469 consid. 4.2.2; 143 III 193 consid. 4; arrêt 5A_747/2025 du 12 septembre 2025 consid. 3). Il n'est en effet pas acceptable que le retrait de l'effet suspensif par l'autorité de protection ou le rejet de la demande de restitution de l'effet suspensif par l'instance de recours crée un fait accompli et empêche ainsi un jugement effectif par le tribunal suisse initialement compétent (cf. arrêt 5A_520/2017 du 22 janvier 2018 consid. 3.2). Dans la mesure toutefois où le bien-être de l'enfant constitue toujours la priorité absolue, s'écarter des principes susmentionnés en cas de circonstances exceptionnelles, notamment en cas d'urgence, n'est pas seulement une option, mais un devoir qui incombe au tribunal saisi ( ATF 143 III 193 consid. 4; 144 III 469 consid. 4.2.2; arrêt 5A_641/2025 du 8 octobre 2025 consid. 3.1.1 et les références).</w:t>
      </w:r>
    </w:p>
    <w:p>
      <w:r>
        <w:rPr>
          <w:b/>
        </w:rPr>
        <w:t>E. 3.3.2</w:t>
      </w:r>
    </w:p>
    <w:p>
      <w:r>
        <w:t>Lors de la décision sur l'effet suspensif ou l'exécution anticipée et dans la perspective de l'issue de la procédure principale, il convient de garder à l'esprit qu'en adoptant l' art. 301a CC , le législateur a délibérément estimé (pour l'historique, cf. ATF 142 III 481 consid. 2.4) que la liberté d'établissement du parent qui souhaitait déménager devait être respectée ( ATF 142 III 481 consid. 2.5). Par conséquent, le juge ou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partir à l'étranger ( ATF 142 III 502 consid. 2.5; 142 III 481 consid. 2.6).</w:t>
      </w:r>
    </w:p>
    <w:p>
      <w:r>
        <w:rPr>
          <w:b/>
        </w:rPr>
        <w:t>E. 3.4.1</w:t>
      </w:r>
    </w:p>
    <w:p>
      <w:r>
        <w:t>La motivation développée par le recourant occulte l'enjeu du litige principal. Celui-ci n'est pas de déterminer si l'intérêt de l'enfant commanderait son maintien à V.________, en compagnie de ses deux parents, mais si son bien-être serait mieux garanti en suivant sa mère en France ou en restant en Suisse avec son père, qui n'en réclame cependant aucunement la garde (exclusive, voire alternée). Il est au demeurant incontesté que la situation revêt ici un caractère exceptionnel: le mineur et sa mère ont été évacués du logement qu'ils occupaient pour être actuellement hébergés dans un hôtel d'urgence; la mère, qui n'a pas d'attaches en Suisse, souhaite se réinsérer en France en se rapprochant de différents membres de sa famille (arrêt attaqué, p. 2, sans contestations du recourant) et le mineur, gravement atteint dans sa santé (troubles du spectre autistique), nécessite une surveillance et des soins constants, lesquels sont actuellement assurés quotidiennement par sa mère, titulaire de sa garde exclusive. Certes, l'on ignore l'issue des démarches accomplies par l'intimée en vue d'assurer la prise en charge et le suivi du handicap de son fils en France; il est néanmoins établi que celles-ci ont été initiées et que la scolarisation du mineur, ainsi que son suivi pour ses troubles du développement, ont pour leur part été interrompus à V.________. De même, si le logement envisagé à U.________ peut apparaître étroit et qu'aux dires du recourant le bail serait octroyé pour une durée limitée, il n'est certainement pas moins précaire que la situation vécue actuellement en Suisse. Dans ces circonstances, l'on ne saurait reprocher à l'autorité cantonale d'avoir arbitrairement conclu que l'intérêt de l'enfant commandait d'autoriser la mère à déplacer son lieu de résidence en France. Le caractère très particulier de la situation permet d'admettre que l'autorisation octroyée relève ici de l'urgence, dont la jurisprudence admet sciemment le corollaire de la perte de compétence des autorités judiciaires suisses; les arguments que le recourant invoque sur le fond du litige (notamment la violation de son droit d'être entendu) ne sont donc pas décisifs.</w:t>
      </w:r>
    </w:p>
    <w:p>
      <w:r>
        <w:rPr>
          <w:b/>
        </w:rPr>
        <w:t>E. 3.4.2</w:t>
      </w:r>
    </w:p>
    <w:p>
      <w:r>
        <w:t>Afin d'être exhaustif, l'on relèvera encore que la décision autorisant le déplacement du lieu de résidence de l'enfant a été rendue par une autorité judiciaire, avec un pouvoir d'examen complet en fait et en droit. Le renvoi du recourant à la jurisprudence de la CourEDH Plazzi c. Suisse (requête 44101/18) du 8 février 2022 apparaît ainsi vaine (cf. arrêt 5A_739/2023 du 26 mars 2024 consid. 2.2.2 et les références).</w:t>
      </w:r>
    </w:p>
    <w:p>
      <w:r>
        <w:rPr>
          <w:b/>
        </w:rPr>
        <w:t>E. 4</w:t>
      </w:r>
    </w:p>
    <w:p>
      <w:r>
        <w:t>Le recourant invoque également la violation de l' art. 11 Cst. Il estime que la décision entreprise ne contiendrait aucune analyse concrète et étayée des conséquences qu'engendrerait pour l'enfant le déplacement de son lieu de résidence à U.________, ce qui serait incompatible avec la protection particulière assurée par la garantie constitutionnelle sus-évoquée. La motivation de l'autorité cantonale, même succincte, permet de constater que la décision a précisément été rendue à la lumière de l'intérêt supposé de l'enfant, lequel commande ici de suivre sa mère en France.</w:t>
      </w:r>
    </w:p>
    <w:p>
      <w:r>
        <w:rPr>
          <w:b/>
        </w:rPr>
        <w:t>E. 5</w:t>
      </w:r>
    </w:p>
    <w:p>
      <w:r>
        <w:t>À toutes fins utiles, l'on précisera que, à supposer que l'enfant se trouve installé déjà en France (cf.</w:t>
      </w:r>
    </w:p>
    <w:p>
      <w:r>
        <w:t>supra let. C.b et C.c et consid. 1.2), son déplacement doit être validé</w:t>
      </w:r>
    </w:p>
    <w:p>
      <w:r>
        <w:t>a posteriori , mettant ainsi fin à la compétence des autorités judiciaires suisses.</w:t>
      </w:r>
    </w:p>
    <w:p>
      <w:r>
        <w:rPr>
          <w:b/>
        </w:rPr>
        <w:t>E. 6</w:t>
      </w:r>
    </w:p>
    <w:p>
      <w:r>
        <w:t>En définitive, le recours constitutionnel subsidiaire est irrecevable et le recours en matière civile est rejeté dans la mesure où il est recevable. La requête d'effet suspensif assortissant le recours est sans objet. La requête d'assistance judiciaire du recourant est rejetée, ses conclusions apparaissant d'emblée dépourvues de chance de succès ( art. 64 al. 1 LTF ). Les frais judiciaires, dont font partie les frais de représentation du mineur (arrêt 5A_641/2025 du 8 octobre 2025 consid. 4 et les références), sont en conséquence mis à sa charge. L'intimée et la curatrice de représentation de l'enfant, de même que le SPMi, le tribunal de protection et la cour cantonale ont été invités à se déterminer sur la requête d'effet suspensif assortissant le recours. Aucun dépens n'est octroyé à l'intimée dès lors qu'elle agit sans le concours d'un mandataire qualifié; l'État n'y a pas droit non plus ( art. 68 al. 3 LTF ); en revanche, une indemnité doit être versée à la curatrice de représentation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