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1036/2021 vom 23. September 2022</w:t>
      </w:r>
    </w:p>
    <w:p>
      <w:r>
        <w:t>Bundesgericht, 2022-09-23, FR</w:t>
      </w:r>
    </w:p>
    <w:p>
      <w:r>
        <w:rPr>
          <w:b/>
        </w:rPr>
        <w:t xml:space="preserve">Quelle: </w:t>
      </w:r>
      <w:r>
        <w:t>https://mcp.opencaselaw.ch/entscheid/bger_5A_1036_2021</w:t>
      </w:r>
    </w:p>
    <w:p>
      <w:r>
        <w:t>FR: TF 5A 1036/2021 du 23 septembre 2022</w:t>
      </w:r>
    </w:p>
    <w:p>
      <w:r>
        <w:t>IT: TF 5A 1036/2021 del 23 settembre 2022</w:t>
      </w:r>
    </w:p>
    <w:p>
      <w:pPr>
        <w:pStyle w:val="Heading2"/>
      </w:pPr>
      <w:r>
        <w:t>Regeste</w:t>
      </w:r>
    </w:p>
    <w:p>
      <w:r>
        <w:t>divorce (contribution d'entretien post-divorce)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l'espèce, la partie " III. En Fait " que le recourant présente dans son mémoire sera ignorée en tant que les faits qui y sont exposés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3</w:t>
      </w:r>
    </w:p>
    <w:p>
      <w:r>
        <w:t>Le recourant se plaint d'une violation de l' art. 125 CC et fait valoir que le mariage des époux n'aurait eu absolument aucune influence concrète sur la situation financière de l'épouse, de sorte qu'aucune contribution d'entretien après divorce ne lui serait due.</w:t>
      </w:r>
    </w:p>
    <w:p>
      <w:r>
        <w:rPr>
          <w:b/>
        </w:rPr>
        <w:t>E. 3.1</w:t>
      </w:r>
    </w:p>
    <w:p>
      <w:r>
        <w:t>Dans l'arrêt querellé, les juges cantonaux ont relevé que la décision de première instance faisait mention de revenus mensuels nets de 1'961 fr. pour l'épouse et de 5'000 fr. pour l'époux. Ils ont en outre indiqué que le mariage des parties avait duré plus de dix ans jusqu'à leur séparation et que la maladie durable de l'intimée s'était déclarée pendant la vie commune, un an avant la séparation des parties. Ainsi, la confiance placée par celle-ci dans la communauté qu'elle formait avec l'époux, qu'elle avait au demeurant soutenu dans son activité indépendante en tenant sa comptabilité, méritait d'être protégée, cela même si son incapacité à couvrir ses propres charges ne résultait pas de la répartition des tâches durant le mariage, puisqu'elle avait toujours travaillé à plein temps jusqu'à son incapacité et qu'aucun enfant n'était issu de l'union des parties. Les juges cantonaux ont dès lors estimé que c'était à juste titre que l'autorité de première instance avait jugé que l'intimée était en droit de prétendre au versement d'une contribution d'entretien.</w:t>
      </w:r>
    </w:p>
    <w:p>
      <w:r>
        <w:rPr>
          <w:b/>
        </w:rPr>
        <w:t>E. 3.2.1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notamment en considération de l'âge et de l'état de santé des époux ( art. 125 al. 2 ch. 4 CC ). La détermination de la contribution d'entretien est laissée, pour une part importante, à l'appréciation du juge du fait, qui applique les règles du droit et de l'équité ( art. 4 CC ; ATF 134 III 577 consid. 4; arrêts 5A_510/2021 du 14 juin 2022 consid. 3.1.2; 5A_568/2021 du 25 mars 2022 consid. 4.1, destiné à la publication; 5A_191/2021 du 22 février 2022 consid. 5.1.1).</w:t>
      </w:r>
    </w:p>
    <w:p>
      <w:r>
        <w:rPr>
          <w:b/>
        </w:rPr>
        <w:t>E. 3.2.2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147 III 249 consid. 3.4.3; 141 III 465 consid. 3.1; arrêts 5A_191/2021 précité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 ATF 147 III 249 consid. 3.4.1; arrêts 5A_568/2021 précité consid. 4.1; 5A_907/2019 du 27 août 2021 consid. 3.1.1).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 ATF 147 III 249 consid. 3.4; arrêts 5A_826/2020 du 30 mars 2022 consid. 5.2; 5A_568/2021 précité consid. 4.2; 5A_191/2021 précité consid. 5.1.1).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 ATF 147 III 249 consid. 3.4.3, 308 consid. 5.6; arrêts 5A_510/2021 précité consid. 3.1.2; 5A_568/2021 précité consid. 4.2).</w:t>
      </w:r>
    </w:p>
    <w:p>
      <w:r>
        <w:rPr>
          <w:b/>
        </w:rPr>
        <w:t>E. 3.2.3</w:t>
      </w:r>
    </w:p>
    <w:p>
      <w:r>
        <w:t>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5A_215/2018 du 1er novembre 2018 consid. 3.3.2; 5A_1008/2017 du 7 mars 2018 consid. 4.2.2; 5A_800/2016 du 18 août 2017 consid. 6.3; 5A_128/2016 du 22 août 2016 consid. 5.1.3.2 et les références). Par ailleurs, dans le cas où le mariage n'a pas eu un impact décisif sur la vie de l'époux atteint dans sa santé, la solidarité après divorce ne peut s'appliquer que si l'atteinte a été causée par le mariage (arrêts 5A_782/2010 du 2 février 2012 consid. 4.1; 5A_56/2010 du 2 juin 2010 consid. 3.4; 5C.169/2006 du 13 septembre 2006 consid. 2.6).</w:t>
      </w:r>
    </w:p>
    <w:p>
      <w:r>
        <w:rPr>
          <w:b/>
        </w:rPr>
        <w:t>E. 3.3</w:t>
      </w:r>
    </w:p>
    <w:p>
      <w:r>
        <w:t>En l'espèce, la cour cantonale a retenu que l'incapacité de l'épouse à couvrir ses propres charges ne résultait pas de la répartition des tâches durant le mariage, dès lors que l'intéressée avait toujours travaillé à plein temps et qu'aucun enfant n'était issu de l'union des parties. On peut donc en déduire que, sur le principe, l'union conjugale n'a pas durablement marqué de son empreinte la situation de l'épouse au sens de la jurisprudence précitée. L'autorité précédente a néanmoins estimé que la confiance de l'intimée dans la communauté qu'elle formait avec l'époux méritait d'être protégée, dès lors que le mariage avait duré plus de dix ans jusqu'à la séparation et que sa maladie durable s'était déclarée pendant la vie commune, un an avant la séparation. Or, s'agissant de la durée de la vie commune, la juridiction cantonale s'est fondée sur une présomption de durée abstraite qui, comme on l'a vu, ne suffit pas pour admettre un mariage ayant eu un impact décisif sur la vie de l'épouse. En outre, en tant que l'autorité précédente a considéré comme déterminant le fait que la maladie de l'épouse s'était déclarée pendant la vie commune, respectivement un an avant la séparation des parties, elle a méconnu que ce n'était pas l'apparition d'une atteinte à l'état de santé durant le mariage qui permettait de retenir un impact décisif de l'union conjugale sur la vie de l'intéressée, mais que, au contraire, ce n'était que si l'on retenait préalablement un tel impact sur sa situation qu'il convenait, dans un deuxième temps, de tenir compte de son état de santé. Dans la décision entreprise, la cour cantonale a également relevé que l'épouse avait soutenu son conjoint dans son activité indépendante en tenant sa comptabilité. Cet élément n'est toutefois pas déterminant en l'espèce; en effet, selon le jugement de première instance, l'activité déployée par l'intimée dans l'entreprise de l'époux, à hauteur de 15 heures par semaine, l'était en plus de son travail effectué à 100 % comme responsable de blanchisserie. On ne saurait dès lors retenir que cette activité accessoire aurait porté préjudice à l'indépendance économique de l'épouse. En définitive, et au vu des circonstances, le mariage n'a pas eu d'impact décisif sur la vie de l'épouse, ce qui permet d'exclure tout droit au versement d'une contribution d'entretien en sa faveur, sauf à retenir que son atteinte à la santé était liée au mariage (cf. supra consid. 3.2.3). Une telle constatation ne ressort toutefois pas de l'arrêt querellé et l'intimée - qui n'a pas procédé en instance fédérale - ne l'a pas non plus fait valoir. Il s'ensuit que l'autorité cantonale a abusé du pouvoir d'appréciation dont elle disposait en retenant que l'épouse avait droit au versement d'une contribution d'entretien en sa faveur et que le moyen tiré de la violation de l' art. 125 CC doit être admis.</w:t>
      </w:r>
    </w:p>
    <w:p>
      <w:r>
        <w:rPr>
          <w:b/>
        </w:rPr>
        <w:t>E. 4</w:t>
      </w:r>
    </w:p>
    <w:p>
      <w:r>
        <w:t>L'admission du grief qui précède scelle le sort de la cause, de sorte qu'il n'y a pas lieu d'examiner la critique du recourant portant sur une constatation prétendument manifestement inexacte des faits relative à des propriétés immobilières au U.________.</w:t>
      </w:r>
    </w:p>
    <w:p>
      <w:r>
        <w:rPr>
          <w:b/>
        </w:rPr>
        <w:t>E. 5</w:t>
      </w:r>
    </w:p>
    <w:p>
      <w:r>
        <w:t>Au final, le recours est admis dans la mesure où il est recevable. L'arrêt entrepris est annulé en tant qu'il concerne la contribution d'entretien de l'intimée et est réformé en ce sens que le recourant est dispensé de lui verser toute contribution d'entretien après divorce. Les frais judiciaires sont mis à la charge de l'intimée, qui succombe ( art. 66 al. 1 LTF ). Elle versera en outre des dépens au recourant ( art. 68 al. 1 et 2 LTF ). Il appartiendra à l'autorité cantonale de statuer à nouveau sur les frais et dépens de la procédure cantonale ( art. 67 et 68 al. 5 LTF ), de sorte que l'arrêt attaqué est également annulé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