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5A_1034/2020 vom 15. Dezember 2020</w:t>
      </w:r>
    </w:p>
    <w:p>
      <w:r>
        <w:t>Bundesgericht, 2020-12-15, DE</w:t>
      </w:r>
    </w:p>
    <w:p>
      <w:r>
        <w:rPr>
          <w:b/>
        </w:rPr>
        <w:t xml:space="preserve">Quelle: </w:t>
      </w:r>
      <w:r>
        <w:t>https://mcp.opencaselaw.ch/entscheid/bger_5A_1034_2020</w:t>
      </w:r>
    </w:p>
    <w:p>
      <w:r>
        <w:t>FR: TF 5A_1034/2020 du 15 décembre 2020</w:t>
      </w:r>
    </w:p>
    <w:p>
      <w:r>
        <w:t>IT: TF 5A_1034/2020 del 15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des Beschwerdeführers nicht eingetreten. Streitgegenstand ist deshalb grundsätzlich nur die Frage, ob die Vorinstanz zu Recht einen Nichteintretensentscheid gefällt hat ( BGE 135 II 38 E. 1.2 S. 41; 139 II 233 E. 3.2 S. 235).</w:t>
      </w:r>
    </w:p>
    <w:p>
      <w:r>
        <w:t>Diesbezüglich hat die Beschwerde eine Begründung zu enthalten, in welcher in gedrängter Form dargelegt wird, inwiefern der angefochtene Entscheid Recht verletzt ( Art. 42 Abs. 2 BGG ), was eine sachbezogene Auseinandersetzung mit dessen Erwägungen erfordert ( BGE 140 III 115 E. 2 S. 116; 142 III 364 E. 2.4 S. 368).</w:t>
      </w:r>
    </w:p>
    <w:p>
      <w:r>
        <w:rPr>
          <w:b/>
        </w:rPr>
        <w:t>E. 2</w:t>
      </w:r>
    </w:p>
    <w:p>
      <w:r>
        <w:t>Der Beschwerdeführer behauptet abstrakt, er habe sich in seiner Eingabe an das Kantonsgericht mit der erstinstanzlichen Begründung auseinandergesetzt; ein Richter, der über mehrere Jahre in mehreren Angelegenheiten zwischen den gleichen Parteien urteile, könne objektiv gesehen nicht unparteiisch sein. Indes ist ein Verweis auf die kantonale Eingabe - welche im Übrigen nicht einmal vorgelegt wird - im bundesgerichtlichen Verfahren ungenügend; die Begründung hat in der Beschwerdeschrift selbst zu erfolgen ( Art. 42 Abs. 2 BGG ; BGE 133 II 396 E. 3.1 S. 400; 140 III 115 E. 2 S. 116). Mit einer unbelegten Behauptung ist nicht dargetan, inwiefern das Kantonsgericht mit seinem Nichteintretensentscheid gegen Recht verstossen hätte.</w:t>
      </w:r>
    </w:p>
    <w:p>
      <w:r>
        <w:rPr>
          <w:b/>
        </w:rPr>
        <w:t>E. 3</w:t>
      </w:r>
    </w:p>
    <w:p>
      <w:r>
        <w:t>Nach dem Gesagten ist die Beschwerde offensichtlich nicht hinreichend begründet und es ist deshalb im vereinfachten Verfahren nach Art. 108 Abs. 1 lit. b BGG nicht auf sie einzutreten.</w:t>
      </w:r>
    </w:p>
    <w:p>
      <w:r>
        <w:t>Mit dem sofortigen Entscheid in der Sache wird das Gesuch um aufschiebende Wirkung gegenstandslos.</w:t>
      </w:r>
    </w:p>
    <w:p>
      <w:r>
        <w:rPr>
          <w:b/>
        </w:rPr>
        <w:t>E. 4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bereits aus diesem Grund abzuweisen ist. Im Übrigen fehlt es ohnehin auch an einer Darlegung der Prozessarmut.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