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5A_1034/2017 vom 29. Dezember 2017</w:t>
      </w:r>
    </w:p>
    <w:p>
      <w:r>
        <w:t>Bundesgericht, 2017-12-29, DE</w:t>
      </w:r>
    </w:p>
    <w:p>
      <w:r>
        <w:rPr>
          <w:b/>
        </w:rPr>
        <w:t xml:space="preserve">Quelle: </w:t>
      </w:r>
      <w:r>
        <w:t>https://mcp.opencaselaw.ch/entscheid/bger_5A_1034_2017</w:t>
      </w:r>
    </w:p>
    <w:p>
      <w:r>
        <w:t>FR: TF 5A_1034/2017 du 29 décembre 2017</w:t>
      </w:r>
    </w:p>
    <w:p>
      <w:r>
        <w:t>IT: TF 5A_1034/2017 del 29 dicembre 2017</w:t>
      </w:r>
    </w:p>
    <w:p>
      <w:pPr>
        <w:pStyle w:val="Heading2"/>
      </w:pPr>
      <w:r>
        <w:t>Erwägungen</w:t>
      </w:r>
    </w:p>
    <w:p>
      <w:r>
        <w:rPr>
          <w:b/>
        </w:rPr>
        <w:t>E. 1</w:t>
      </w:r>
    </w:p>
    <w:p>
      <w:r>
        <w:t>Angefochten ist der kantonal letztinstanzliche Entscheid betreffend Rechtsverzögerung durch ein Zivilstandsamt im Zusammenhang mit dem Ehevorbereitungsverfahren; die Beschwerde in Zivilsachen steht offen (Art. 72 Abs. 2 lit. b Ziff. 2,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 enthält lediglich Verfahrensanträge, aber keine zielgerichteten Sachanträge (Feststellung einer Rechtsverzögerung o.ä.).</w:t>
      </w:r>
    </w:p>
    <w:p>
      <w:r>
        <w:t>Sodann mangelt es der Beschwerde auch an einer Auseinandersetzung mit den ausführlichen Erwägungen des angefochtenen Entscheides. Sie besteht zum einen aus allgemeinen Floskeln (der obergerichtliche Referent hätte die Verhältnismässigkeit und Vollzugsprämissen bei der Einforderung von Grundrechten abwägen müssen und nicht bloss die Amtskollegen des gleichen Arbeitgebers schützen dürfen; bei einem sich über so lange Monate hinziehenden Verfahren sei die Verzögerung von sich aus für jeden Gerichtsmitarbeiter evident) und zum anderen aus Vorwürfen gegenüber den Migrationsbehörden, was aber mangels entsprechender Entscheidzuständigkeit nicht Gegenstand des obergerichtlichen Beschwerdeentscheides war und folglich auch nicht Gegenstand der dagegen gerichteten Beschwerde in Zivilsachen sein kann.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voranstehenden Erwägungen zeigen, konnte der Beschwerde von Anfang an kein Erfolg beschieden sein, weshalb es an den materiellen Voraussetzungen der unentgeltlichen Rechtspflege fehlt ( Art. 64 Abs. 1 BGG ) und das betreffende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