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1032/2017 vom 22. Dezember 2017</w:t>
      </w:r>
    </w:p>
    <w:p>
      <w:r>
        <w:t>Bundesgericht, 2017-12-22, DE</w:t>
      </w:r>
    </w:p>
    <w:p>
      <w:r>
        <w:rPr>
          <w:b/>
        </w:rPr>
        <w:t xml:space="preserve">Quelle: </w:t>
      </w:r>
      <w:r>
        <w:t>https://mcp.opencaselaw.ch/entscheid/bger_5A_1032_2017</w:t>
      </w:r>
    </w:p>
    <w:p>
      <w:r>
        <w:t>FR: TF 5A 1032/2017 du 22 décembre 2017</w:t>
      </w:r>
    </w:p>
    <w:p>
      <w:r>
        <w:t>IT: TF 5A 1032/2017 del 22 dicembre 2017</w:t>
      </w:r>
    </w:p>
    <w:p>
      <w:pPr>
        <w:pStyle w:val="Heading2"/>
      </w:pPr>
      <w:r>
        <w:t>Regeste</w:t>
      </w:r>
    </w:p>
    <w:p>
      <w:r>
        <w:t>Schutzschrift (Eheschutz) | Familienrecht</w:t>
      </w:r>
    </w:p>
    <w:p>
      <w:pPr>
        <w:pStyle w:val="Heading2"/>
      </w:pPr>
      <w:r>
        <w:t>Erwägungen</w:t>
      </w:r>
    </w:p>
    <w:p>
      <w:r>
        <w:rPr>
          <w:b/>
        </w:rPr>
        <w:t>E. 1</w:t>
      </w:r>
    </w:p>
    <w:p>
      <w:r>
        <w:t>Im Unterschied zur Zivilprozessordnung (vgl. Art. 270 ZPO ) ist die Schutzschrift im Bundesgerichtsgesetz nicht vorgesehen. Die Praxis der Abteilungen des Bundesgerichtes zur informellen Handhabung von Schutzschriften ist unterschiedlich; einige Abteilungen senden derartige Eingaben an den Absender zurück, andere nehmen sie entgegen unter dem Vorbehalt, dass im gegebenen Zeitpunkt die Gegenpartei eine Beschwerde einreicht und superprovisorische Massnahmen verlangt (vgl. VON WERDT, in: Kommentar zum Bundesgerichtsgesetz, 2. Aufl. Bern 2015, N. 7 zu Art. 102 BGG ).</w:t>
      </w:r>
    </w:p>
    <w:p>
      <w:r>
        <w:rPr>
          <w:b/>
        </w:rPr>
        <w:t>E. 2</w:t>
      </w:r>
    </w:p>
    <w:p>
      <w:r>
        <w:t>Die II. zivilrechtliche Abteilung pflegt, weil es sich um ein dem Bundesgerichtsgesetz nicht bekanntes Institut handelt, keine Schutzschriften entgegenzunehmen bzw. darauf nicht einzutreten. Bei Nichteintreten auf unzulässige Eingaben entscheidet der Präsident im vereinfachten Verfahren ( Art. 108 Abs. 1 lit. a BGG ). Ferner kann für eine nach dem Bundesgerichtsgesetz nicht vorgesehene Eingabe, welche folglich auch keine Erfolgschancen aufweisen kann (vgl. Art. 64 Abs. 1 BGG ), keine unentgeltliche Rechtspflege erteilt werden.</w:t>
      </w:r>
    </w:p>
    <w:p>
      <w:r>
        <w:rPr>
          <w:b/>
        </w:rPr>
        <w:t>E. 3</w:t>
      </w:r>
    </w:p>
    <w:p>
      <w:r>
        <w:t>Angesichts der konkreten Umstände rechtfertigt es sich aber,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