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5A_1030/2015 vom 19. April 2016</w:t>
      </w:r>
    </w:p>
    <w:p>
      <w:r>
        <w:t>Bundesgericht, 2016-04-19, DE</w:t>
      </w:r>
    </w:p>
    <w:p>
      <w:r>
        <w:rPr>
          <w:b/>
        </w:rPr>
        <w:t xml:space="preserve">Quelle: </w:t>
      </w:r>
      <w:r>
        <w:t>https://mcp.opencaselaw.ch/entscheid/bger_5A_1030_2015</w:t>
      </w:r>
    </w:p>
    <w:p>
      <w:r>
        <w:t>FR: TF 5A_1030/2015 du 19 avril 2016</w:t>
      </w:r>
    </w:p>
    <w:p>
      <w:r>
        <w:t>IT: TF 5A_1030/2015 del 19 aprile 2016</w:t>
      </w:r>
    </w:p>
    <w:p>
      <w:pPr>
        <w:pStyle w:val="Heading2"/>
      </w:pPr>
      <w:r>
        <w:t>Erwägungen</w:t>
      </w:r>
    </w:p>
    <w:p>
      <w:r>
        <w:rPr>
          <w:b/>
        </w:rPr>
        <w:t>E. 1.1</w:t>
      </w:r>
    </w:p>
    <w:p>
      <w:r>
        <w:t>Das Bundesgericht überprüft von Amtes wegen und mit freier Kognition, ob eine Beschwerde zulässig ist ( BGE 141 II 113 E. 1 S. 116).</w:t>
      </w:r>
    </w:p>
    <w:p>
      <w:r>
        <w:rPr>
          <w:b/>
        </w:rPr>
        <w:t>E. 1.2</w:t>
      </w:r>
    </w:p>
    <w:p>
      <w:r>
        <w:t>Binnen Frist ficht der Beschwerdeführer den Endentscheid einer letzten kantonalen Instanz über die Genehmigung des Schlussberichts eines Beistands ( Art. 425 Abs. 2 ZGB ) an. Dabei handelt es sich um eine Massnahme auf dem Gebiet des Erwachsenenschutzes, also um einen öffentlich-rechtlichen Entscheid, der in unmittelbarem Zusammenhang mit dem Zivilrecht steht und eine nicht vermögensrechtliche Angelegenheit zum Gegenstand hat (Art. 72 Abs. 2 Bst. b Ziff. 6, Art. 75, 90 und 100 BGG ).</w:t>
      </w:r>
    </w:p>
    <w:p>
      <w:r>
        <w:rPr>
          <w:b/>
        </w:rPr>
        <w:t>E. 2.1</w:t>
      </w:r>
    </w:p>
    <w:p>
      <w:r>
        <w:t>In der Beschwerde ist in Auseinandersetzung mit den Erwägungen des angefochtenen Entscheids darzulegen, welche Rechte der beschwerdeführenden Partei durch das kantonale Gericht verletzt worden sind ( Art. 42 Abs. 2 BGG ; BGE 140 III 86 E. 2 S. 88 ff. mit zahlreichen Hinweisen). Eine allfällige Verletzung verfassungsmässiger Rechte prüft das Bundesgericht nicht von Amtes wegen, sondern nur dann, wenn solche Rügen in der Beschwerdeschrift ausdrücklich erhoben und begründet werden ( Art. 106 Abs. 2 BGG ; BGE 135 III 232 E. 1.2 S. 234). Wird eine Sachverhaltsfeststellung beanstandet, muss in der Beschwerdeschrift dargelegt werden, inwiefern diese Feststellung offensichtlich unrichtig ist oder auf einer anderen Rechtsverletzung im Sinn von Art. 95 BGG beruht ( Art. 97 Abs. 1 BGG ). Auf rein appellatorische Kritik am Sachverhalt tritt das Bundesgericht nicht ein.</w:t>
      </w:r>
    </w:p>
    <w:p>
      <w:r>
        <w:rPr>
          <w:b/>
        </w:rPr>
        <w:t>E. 2.2</w:t>
      </w:r>
    </w:p>
    <w:p>
      <w:r>
        <w:t>Auch unter Berücksichtigung der Tatsache, dass der Beschwerdeführer juristisch nicht bewandert ist, genügt die vorliegende Beschwerde den in E. 2.1 erwähnten Begründungsanforderungen nicht. Der Beschwerdeführer beschränkt sich darauf, das Vorgefallene aus seiner Sicht zu rekapitulieren und gestützt darauf den Saldo im Schlussbericht des Beistands zu beanstanden. Eine Auseinandersetzung mit dem vorinstanzlichen Urteil, das dem Beschwerdeführer die Richtigkeit der Schlussabrechnung zu erklären versucht, findet nicht statt. Mangels rechtsgenüglicher Begründung kann das Bundesgericht auf die Beschwerde gar nicht erst eintreten. Damit kann offenbleiben, ob der Beschwerdeführer die behördliche Genehmigung des Schlussberichts des Beistands überhaupt als einzelner Erbe anfechten könnte, ohne zusammen mit allen anderen Erben als Erbengemeinschaft zu handeln oder wenigstens von allen Erben in dieser Angelegenheit zum Vertreter bestimmt zu sein.</w:t>
      </w:r>
    </w:p>
    <w:p>
      <w:r>
        <w:rPr>
          <w:b/>
        </w:rPr>
        <w:t>E. 3</w:t>
      </w:r>
    </w:p>
    <w:p>
      <w:r>
        <w:t>Bei diesem Ausgang des Verfahrens unterliegt der Beschwerdeführer. Er hat deshalb für die Gerichtskosten aufzukommen ( Art. 66 Abs. 1 BGG ). Dem Kanton Zürich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