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1027/2021 vom 15. Dezember 2021</w:t>
      </w:r>
    </w:p>
    <w:p>
      <w:r>
        <w:t>Bundesgericht, 2021-12-15, DE</w:t>
      </w:r>
    </w:p>
    <w:p>
      <w:r>
        <w:rPr>
          <w:b/>
        </w:rPr>
        <w:t xml:space="preserve">Quelle: </w:t>
      </w:r>
      <w:r>
        <w:t>https://mcp.opencaselaw.ch/entscheid/bger_5A_1027_2021</w:t>
      </w:r>
    </w:p>
    <w:p>
      <w:r>
        <w:t>FR: TF 5A 1027/2021 du 15 décembre 2021</w:t>
      </w:r>
    </w:p>
    <w:p>
      <w:r>
        <w:t>IT: TF 5A 1027/2021 del 15 dicembre 2021</w:t>
      </w:r>
    </w:p>
    <w:p>
      <w:pPr>
        <w:pStyle w:val="Heading2"/>
      </w:pPr>
      <w:r>
        <w:t>Regeste</w:t>
      </w:r>
    </w:p>
    <w:p>
      <w:r>
        <w:t>Rechtsverweigerung bzw. Rechtsverzögerung (Unterhaltsklage)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w:t>
      </w:r>
    </w:p>
    <w:p>
      <w:r>
        <w:rPr>
          <w:b/>
        </w:rPr>
        <w:t>E. 2</w:t>
      </w:r>
    </w:p>
    <w:p>
      <w:r>
        <w:t>Die Beschwerdeführerin bringt wie üblich in allgemeiner Weise vor, dass die schweizerischen Gerichte befangen seien und ihr zu Unrecht nachehelichen Unterhalt verweigern und sich damit über das Gesetz hinwegsetzen würden, indem ihr nach langer Ehe nachehelicher Unterhalt und gemäss Art. 29 und 30 BV ein diesbezüglicher Justizgewährungsanspruch zustehe. Sie versucht damit erneut, auf eine rechtskräftig erledigte Angelegenheit zurückzukommen, und insofern liegt keine hinreichende Begründung im Sinn von Art. 42 Abs. 2 BGG vor, inwiefern Recht verletzt worden sein soll, wenn das Obergericht die gegen das Amtsgericht Bucheggberg-Wasseramt gerichtete weitere Rechtsverzögerungs- bzw. Rechtsverweigerungsbeschwerde abgewiesen hat, soweit es darauf eingetreten ist.</w:t>
      </w:r>
    </w:p>
    <w:p>
      <w:r>
        <w:rPr>
          <w:b/>
        </w:rPr>
        <w:t>E. 3</w:t>
      </w:r>
    </w:p>
    <w:p>
      <w:r>
        <w:t>Nach dem Gesagten ist auf die Beschwerde im vereinfachten Verfahren nach Art. 108 Abs. 1 lit. b BGG nicht einzutreten. Im Übrigen ist die Beschwerdeführung zur stets gleichen Fragestellung als missbräuchlich bzw. querulatorisch zu bezeichnen, so dass auf die Beschwerde auch gestützt auf Art. 42 Abs. 7 und Art. 108 Abs. 1 lit. a BGG nicht einzutreten ist. Der Beschwerdeführerin wird angedroht, dass das Bundesgericht weitere Beschwerden mit indentischem Inhalt bzw. Gegenstand künftig unbeantwortet ablegen wird.</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