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5A_1024/2019 vom 28. April 2020</w:t>
      </w:r>
    </w:p>
    <w:p>
      <w:r>
        <w:t>Bundesgericht, 2020-04-28, FR</w:t>
      </w:r>
    </w:p>
    <w:p>
      <w:r>
        <w:rPr>
          <w:b/>
        </w:rPr>
        <w:t xml:space="preserve">Quelle: </w:t>
      </w:r>
      <w:r>
        <w:t>https://mcp.opencaselaw.ch/entscheid/bger_5A_1024_2019</w:t>
      </w:r>
    </w:p>
    <w:p>
      <w:r>
        <w:t>FR: TF 5A_1024/2019 du 28 avril 2020</w:t>
      </w:r>
    </w:p>
    <w:p>
      <w:r>
        <w:t>IT: TF 5A_1024/2019 del 28 aprile 2020</w:t>
      </w:r>
    </w:p>
    <w:p>
      <w:pPr>
        <w:pStyle w:val="Heading2"/>
      </w:pPr>
      <w:r>
        <w:t>Erwägungen</w:t>
      </w:r>
    </w:p>
    <w:p>
      <w:r>
        <w:rPr>
          <w:b/>
        </w:rPr>
        <w:t>E. 1.1</w:t>
      </w:r>
    </w:p>
    <w:p>
      <w:r>
        <w:t>Le recours a été déposé en temps utile ( art. 100 al. 1 LTF ) à l'encontre d'une décision - incidente (cf. infra, consid. 1.2) - prise en matière de protection de l'adulte (art. 72 al. 2 let. b ch. 6 LTF) par une autorité cantonale de dernière instance ayant statué sur recours ( art. 75 al. 1 et 2 LTF ). La personne concernée, qui a participé à la procédure devant la juridiction précédente et a un intérêt digne de protection à l'annulation ou la modification de la décision attaquée, a qualité pour recourir ( art. 76 al. 1 LTF ).</w:t>
      </w:r>
    </w:p>
    <w:p>
      <w:r>
        <w:rPr>
          <w:b/>
        </w:rPr>
        <w:t>E. 1.2</w:t>
      </w:r>
    </w:p>
    <w:p>
      <w:r>
        <w:t>La décision attaquée revêt un double objet : d'une part, elle renvoie la cause en première instance aux fins d'expertise ( art. 446 al. 2 CC ), la procédure en institution de la curatelle étant poursuivie (ch. III.1); d'autre part, elle maintient à titre provisoire ( art. 445 al. 1 CC ) la mesure contestée jusqu'à l'issue de l'enquête sur le fond (ch. III.2 à 6). Comme le souligne la recourante, une telle décision doit être qualifiée d'incidente au sens de l' art. 93 al. 1 LTF .</w:t>
      </w:r>
    </w:p>
    <w:p>
      <w:r>
        <w:rPr>
          <w:b/>
        </w:rPr>
        <w:t>E. 1.2.1</w:t>
      </w:r>
    </w:p>
    <w:p>
      <w:r>
        <w:t>Sur le premier point, la décision attaquée, qui comporte l'obligation de se soumettre à une expertise, peut causer un préjudice irréparable au sens de l' art. 93 al. 1 let. a LTF (arrêt 5A_393/2018 du 21 août 2018 consid. 1.1 et les arrêts cités).</w:t>
      </w:r>
    </w:p>
    <w:p>
      <w:r>
        <w:rPr>
          <w:b/>
        </w:rPr>
        <w:t>E. 1.2.2</w:t>
      </w:r>
    </w:p>
    <w:p>
      <w:r>
        <w:t>Sur le second point, cette condition est également réalisée. Les effets attachés à la restriction de la capacité civile de la recourante ne pourront pas être réparés par la décision finale ultérieure (parmi d'autres: arrêts 5A_479/2019 du 24 septembre 2019 consid. 1.1; 5A_336/2018 du 8 juin 2018 consid. 1; 5A_211/2016 du 19 mai 2016 consid. 1.2; cf. aussi : ATF 143 III 140 consid. 4.3).</w:t>
      </w:r>
    </w:p>
    <w:p>
      <w:r>
        <w:rPr>
          <w:b/>
        </w:rPr>
        <w:t>E. 2</w:t>
      </w:r>
    </w:p>
    <w:p>
      <w:r>
        <w:t>Pour déterminer si les conditions relatives à l'existence d'une cause de curatelle (état objectif de faiblesse) et au besoin de protection étaient réalisées au regard des art. 389 et 390 CC , l'autorité cantonale a constaté les faits suivants : La personne concernée, âgée de 70 ans, a noué des liens de sympathie avec un dénommé C.________, âgé d'une cinquantaine d'années, dont elle ignore apparemment le nom, l'origine, l'activité et l'adresse exacts; cet individu, se montrant prévenant à son égard, a réussi à se faire remettre une somme de plus de 80'000 fr., que l'intéressée reconnaît elle-même ne vraisemblablement jamais pouvoir récupérer.</w:t>
      </w:r>
    </w:p>
    <w:p>
      <w:r>
        <w:t>L'autorité précédente en a déduit que le dénommé C.________ a abusé d'un " état de faiblesse " de la personne concernée, qui a mis en péril sa situation financière et dont le besoin de protection paraît avéré. Certes, l'intéressée a indiqué avoir décidé de ne plus prêter un centime au prénommé, de refuser de le recevoir chez elle et de le voir seul, mais son comportement demeure ambigu dans la mesure où elle ne souhaite pas le dénoncer pénalement et n'exclut pas de le revoir. Dans ces circonstances, le besoin de protection est actuel, quand bien même le médecin traitant certifie que sa patiente possède toute sa capacité de discernement et est capable de gérer ses affaires privées; on ne peut en outre exclure qu'elle ne " retombe sous la coupe de cet individu ". Ce besoin l'emporte ainsi sur les atteintes à l'autonomie et à la dignité invoquées par la personne concernée, ce qui ne remet pas en cause le fait qu'elle ait travaillé toute sa vie pour assurer les charges familiales.</w:t>
      </w:r>
    </w:p>
    <w:p>
      <w:r>
        <w:t>Il n'en demeure pas moins que la mesure contestée, qui restreint l'accès de la personne concernée à la quasi-totalité de ses biens et n'a donc pas seulement une portée ponctuelle, a été prononcée sans expertise, ce qui est contraire à la jurisprudence du Tribunal fédéral. Aussi la cour cantonale a annulé d'office la décision attaquée et renvoyé la cause à l'autorité de protection à cet effet, l'enquête en institution d'une curatelle étant poursuivie.</w:t>
      </w:r>
    </w:p>
    <w:p>
      <w:r>
        <w:rPr>
          <w:b/>
        </w:rPr>
        <w:t>E. 2.1</w:t>
      </w:r>
    </w:p>
    <w:p>
      <w:r>
        <w:t>La recourante se plaint d'abord d'une constatation manifestement inexacte des faits. En bref, elle expose - sur la base du procès-verbal de son audition par la Police le 7 novembre 2019 - que, contrairement à ce que la cour cantonale a retenu, elle a expressément déclaré déposer plainte pénale contre le dénommé C.________, qu'elle ne veut en outre plus revoir. De surcroît, les juges précédents ont omis de constater qu'elle avait exprimé sa " honte de la situation " et pris des précautions chaque fois qu'elle remettait de l'argent au prénommé.</w:t>
      </w:r>
    </w:p>
    <w:p>
      <w:r>
        <w:t>La recourante conteste ensuite la cause et les conditions de l'institution d'une curatelle à son endroit. Elle reproche à l'autorité précédente d'avoir consacré une application " extrêmement extensive " de la notion d'état de faiblesse, qu'elle assimile à une " naïveté passagère " et à une " forme de gentillesse ". C'est la première et dernière fois qu'une telle " mésaventure " lui arrive; la honte qu'elle a manifestée démontre qu'elle est aujourd'hui parfaitement consciente de son erreur. L'hypothèse d'une récidive est infondée, le dénommé C.________ ayant quitté la Suisse début juin 2019.</w:t>
      </w:r>
    </w:p>
    <w:p>
      <w:r>
        <w:rPr>
          <w:b/>
        </w:rPr>
        <w:t>E. 2.2.1</w:t>
      </w:r>
    </w:p>
    <w:p>
      <w:r>
        <w:t>Il faut concéder à la recourante que, à teneur du procès-verbal en question - dont la juridiction cantonale a admis la production et la recevabilité -, elle a expressément déclaré vouloir " dépose[r] également plainte [pénale] pour les faits évoqués lors de [son audition] avec constitution de " partie civile ". En revanche, quoi qu'en dise l'intéressée, ses déclarations sont plus ambiguës quant à sa volonté de ne pas revoir le dénommé C.________; si celui-ci devait la recontacter, elle ne le rencontrerait jamais " si [elle est] seule, où chez [elle] ", n'excluant donc pas tout contact à l'avenir. Il ressort d'ailleurs du procès-verbal que, si la recourante l'a revu la dernière fois " au mois de juin [2019] ", leurs " derniers messages remontent à début septembre 2019 ", époque à laquelle elle lui aurait signifié que " tout est fini ".</w:t>
      </w:r>
    </w:p>
    <w:p>
      <w:r>
        <w:t>Encore faut-il cependant que l'inexactitude manifeste des constatations cantonales soit susceptible d'influer sur le sort de la cause (art. 97 al. 1 in fine LTF); or, tel n'est pas le cas (cf. infra, consid. 2.2.2).</w:t>
      </w:r>
    </w:p>
    <w:p>
      <w:r>
        <w:rPr>
          <w:b/>
        </w:rPr>
        <w:t>E. 2.2.2</w:t>
      </w:r>
    </w:p>
    <w:p>
      <w:r>
        <w:t>Il ressort des constatations (non contestées) de la cour cantonale, complétées par le procès-verbal d'audition ( art. 105 al. 2 LTF ), que la recourante a remis à une personne dont elle ignore pratiquement tout - jusqu'à l'identité précise - une somme supérieure à 80'000 fr., répartie sur une courte période (automne 2018 à mai 2019). Lors de son audition par la police, elle a reconnu que, à partir du printemps 2019, le dénommé C.________ a commencé à lui demander de " plus grosses sommes " et de " manière plus fréquente "; elle ne prétend pas avoir opposé une quelconque résistance à ces sollicitations de plus en plus pressantes, ni vérifié d'une manière ou d'une autre la réalité des opérations commerciales (exportation de véhicules en Roumanie) que les montants " prêtés " devaient financer. D'un point de vue objectif, un tel comportement ne saurait être regardé comme l'expression de la " naïveté " ou de la " gentillesse " de la recourante, mais bien comme une forme de prodigalité ayant son origine dans l'exploitation de sa faiblesse de caractère. Il appartiendra ensuite à l'expert d'examiner si l'intéressée est " susceptible de prendre des engagements contraires à ses intérêts ou d'être victime d'abus de tiers ", comme le prévoit le questionnaire que le premier juge a transmis à l'expert.</w:t>
      </w:r>
    </w:p>
    <w:p>
      <w:r>
        <w:t>Bien qu'elle relève du droit, la notion de besoin de protection repose en grande partie sur l'appréciation de l'autorité cantonale ( art. 4 CC ), dont le Tribunal fédéral ne revoit l'exercice qu'avec retenue (arrêts 5A_17/2011 du 20 juillet 2011 consid. 2.1; 5A_541/2010 du 1er octobre 2010 consid. 3.1). Ce pouvoir n'a pas été violé,</w:t>
      </w:r>
    </w:p>
    <w:p>
      <w:r>
        <w:t>a fortiori arbitrairement, en l'espèce. Il est vrai, à la lecture du procès-verbal d'audition, que le risque que la recourante " ne retombe sous la coupe de cet individu " (i.e. le dénommé C.________) parait limité. En revanche, il n'est pas exclu - du moins à ce stade de la procédure - qu'elle " ne retombe sous la coupe " d'une autre personne et mette derechef en danger sa situation économique; du reste, c'est - comme on l'a vu - l'une des questions auxquelles devra répondre l'expert. Il est dès lors prématuré d'affirmer, comme la recourante, qu'il s'agit là de la " première et dernière " mésaventure de ce type.</w:t>
      </w:r>
    </w:p>
    <w:p>
      <w:r>
        <w:rPr>
          <w:b/>
        </w:rPr>
        <w:t>E. 3.1</w:t>
      </w:r>
    </w:p>
    <w:p>
      <w:r>
        <w:t>Après avoir ordonné une expertise, l'autorité cantonale a examiné si la mesure contestée devait être maintenue " à titre provisoire " jusqu'à l'issue de l'enquête en institution de la curatelle. Elle a répondu par l'affirmative à cette question, en estimant que l'état de faiblesse actuel de la personne concernée nécessitait qu'un tiers intervienne sous la forme d'une curatelle de représentation et de gestion au sens des art. 394 al. 1 et 395 al. 1 et 3 CC.</w:t>
      </w:r>
    </w:p>
    <w:p>
      <w:r>
        <w:rPr>
          <w:b/>
        </w:rPr>
        <w:t>E. 3.2</w:t>
      </w:r>
    </w:p>
    <w:p>
      <w:r>
        <w:t>La recourante admet expressément que, sur ce point, la décision attaquée est de nature provisionnelle ( art. 445 al. 1 CC ) au sens de l' art. 98 LTF (parmi plusieurs : arrêts 5A_336/2018 précité consid. 2.1; 5A_683/2013 du 11 décembre 2013 consid. 2.1 et les citations). Toutefois, l'exposé de son grief est largement appellatoire, partant irrecevable ( art. 106 al. 2 LTF ; ATF 135 III 232 consid. 1.2; 134 II 349 consid. 3); il ne suffit pas d'utiliser le terme " arbitraire " pour rendre la critique conforme aux exigences légales.</w:t>
      </w:r>
    </w:p>
    <w:p>
      <w:r>
        <w:t>Quoi qu'il en soit, l'arrêt déféré n'apparaît pas arbitraire dans son résultat; il ressort des motifs qui précèdent qu'une protection provisoire des intérêts de la recourante s'avère nécessaire afin d'éviter des actes de dispositions susceptibles de mettre en péril sa situation économique.</w:t>
      </w:r>
    </w:p>
    <w:p>
      <w:r>
        <w:rPr>
          <w:b/>
        </w:rPr>
        <w:t>E. 3.3</w:t>
      </w:r>
    </w:p>
    <w:p>
      <w:r>
        <w:t>Le recours est également irrecevable en tant qu'il dénonce une violation de l' art. 36 al. 3 Cst. La recourante ne démontre pas en quoi le principe de proportionnalité consacré par la norme constitutionnelle précitée aurait dans le présent contexte une portée propre par rapport à l' art. 389 al. 2 CC , en relation avec l' art. 9 Cst. ( art. 106 al. 2 LTF ; arrêt 5A_356/2015 du 26 juin 2015 consid. 3.4 in fine).</w:t>
      </w:r>
    </w:p>
    <w:p>
      <w:r>
        <w:rPr>
          <w:b/>
        </w:rPr>
        <w:t>E. 4.1</w:t>
      </w:r>
    </w:p>
    <w:p>
      <w:r>
        <w:t>Enfin, la recourante reproche à la cour cantonale d'avoir appliqué l' art. 450c CC de manière arbitraire en " retir[ant] l'effet suspensif à un éventuel recours " (cf. ch. V du dispositif).</w:t>
      </w:r>
    </w:p>
    <w:p>
      <w:r>
        <w:rPr>
          <w:b/>
        </w:rPr>
        <w:t>E. 4.2</w:t>
      </w:r>
    </w:p>
    <w:p>
      <w:r>
        <w:t>Dépourvu de motivation (art. 42 al. 2 et 106 al. 2 LTF), ce moyen est de surcroît manifestement infondé. Comme l'a retenu le Président de la Cour de céans dans son ordonnance du 9 janvier 2020, l' art. 103 al. 2 let. a LTF est inapplicable en l'espèce, de sorte que l'arrêt attaqué était bien exécutoire dans toutes ses dispositions dès sa communication.</w:t>
      </w:r>
    </w:p>
    <w:p>
      <w:r>
        <w:rPr>
          <w:b/>
        </w:rPr>
        <w:t>E. 5</w:t>
      </w:r>
    </w:p>
    <w:p>
      <w:r>
        <w:t>En conclusion, le présent recours doit être rejeté dans la mesure de sa recevabilité, aux frais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