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5A_1020/2025 vom 26. November 2025</w:t>
      </w:r>
    </w:p>
    <w:p>
      <w:r>
        <w:t>Bundesgericht, 2025-11-26, DE</w:t>
      </w:r>
    </w:p>
    <w:p>
      <w:r>
        <w:rPr>
          <w:b/>
        </w:rPr>
        <w:t xml:space="preserve">Quelle: </w:t>
      </w:r>
      <w:r>
        <w:t>https://mcp.opencaselaw.ch/entscheid/bger_5A_1020_2025</w:t>
      </w:r>
    </w:p>
    <w:p>
      <w:r>
        <w:t>FR: TF 5A_1020/2025 du 26 novembre 2025</w:t>
      </w:r>
    </w:p>
    <w:p>
      <w:r>
        <w:t>IT: TF 5A_1020/2025 del 26 novembre 2025</w:t>
      </w:r>
    </w:p>
    <w:p>
      <w:pPr>
        <w:pStyle w:val="Heading2"/>
      </w:pPr>
      <w:r>
        <w:t>Erwägungen</w:t>
      </w:r>
    </w:p>
    <w:p>
      <w:r>
        <w:rPr>
          <w:b/>
        </w:rPr>
        <w:t>E. 1</w:t>
      </w:r>
    </w:p>
    <w:p>
      <w:r>
        <w:t>Angefochten ist ein kantonal letztinstanzlicher Entscheid betreffend die Revision eines Kostenerlassentscheides mit einem Streitwert von weniger als Fr. 30'000.--. Mithin steht, zumal keine Rechtsfrage von grundsätzlicher Bedeutung geltend gemacht wird, nicht die Beschwerde in Zivilsachen, sondern die subsidiäre Verfassungsbeschwerde offen ( Art. 72 Abs. 1, Art. 74 Abs. 1 lit. b, Art. 75 Abs. 1 und Art. 113 BGG ). Das ist in der Rechtsmittelbelehrung zutreffend so festgehalten.</w:t>
      </w:r>
    </w:p>
    <w:p>
      <w:r>
        <w:rPr>
          <w:b/>
        </w:rPr>
        <w:t>E. 2</w:t>
      </w:r>
    </w:p>
    <w:p>
      <w:r>
        <w:t>Mit der subsidiären Verfassungsbeschwerde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134 II 244 E. 2.2 S. 246; 140 III 264 E. 2.3 S. 266; 142 III 364 E. 2.4 S. 368).</w:t>
      </w:r>
    </w:p>
    <w:p>
      <w:r>
        <w:rPr>
          <w:b/>
        </w:rPr>
        <w:t>E. 3</w:t>
      </w:r>
    </w:p>
    <w:p>
      <w:r>
        <w:t>Weder nennt die Beschwerdeführerin verfassungsmässige Rechte, welche verletzt sein könnten, noch macht sie der Sache nach Verfassungsverletzungen geltend. Aber selbst wenn sie Verfassungsrügen erheben würde, gingen ihre Ausführungen an der Sache vorbei, da sich diese nicht auf die konkreten Erwägungen des angefochtenen Entscheides beziehen.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ist auf die Erhebung von Gerichtskosten zu verzichten ( Art. 66 Abs. 1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