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1019/2019 vom 15. Juni 2020</w:t>
      </w:r>
    </w:p>
    <w:p>
      <w:r>
        <w:t>Bundesgericht, 2020-06-15, FR</w:t>
      </w:r>
    </w:p>
    <w:p>
      <w:r>
        <w:rPr>
          <w:b/>
        </w:rPr>
        <w:t xml:space="preserve">Quelle: </w:t>
      </w:r>
      <w:r>
        <w:t>https://mcp.opencaselaw.ch/entscheid/bger_5A_1019_2019</w:t>
      </w:r>
    </w:p>
    <w:p>
      <w:r>
        <w:t>FR: TF 5A 1019/2019 du 15 juin 2020</w:t>
      </w:r>
    </w:p>
    <w:p>
      <w:r>
        <w:t>IT: TF 5A 1019/2019 del 15 giugno 2020</w:t>
      </w:r>
    </w:p>
    <w:p>
      <w:pPr>
        <w:pStyle w:val="Heading2"/>
      </w:pPr>
      <w:r>
        <w:t>Regeste</w:t>
      </w:r>
    </w:p>
    <w:p>
      <w:r>
        <w:t>retrait du droit de déterminer le lieu de résidence, placement, droit de visite (enfants de parents non mariés) | Droit de la famille</w:t>
      </w:r>
    </w:p>
    <w:p>
      <w:pPr>
        <w:pStyle w:val="Heading2"/>
      </w:pPr>
      <w:r>
        <w:t>Erwägungen</w:t>
      </w:r>
    </w:p>
    <w:p>
      <w:r>
        <w:rPr>
          <w:b/>
        </w:rPr>
        <w:t>E. 1</w:t>
      </w:r>
    </w:p>
    <w:p>
      <w:r>
        <w:t>Le Tribunal fédéral examine d'office et librement la recevabilité des recours qui lui sont soumis ( ATF 144 II 184 consid. 1; 143 III 140 consid. 1; 142 II 363 consid. 1 et la jurisprudence citée).</w:t>
      </w:r>
    </w:p>
    <w:p>
      <w:r>
        <w:rPr>
          <w:b/>
        </w:rPr>
        <w:t>E. 1.1.1</w:t>
      </w:r>
    </w:p>
    <w:p>
      <w:r>
        <w:t>Selon l' art. 76 al. 1 LTF , a qualité pour former un recours en matière civile quiconque, notamment, a un intérêt digne de protection à l'annulation ou la modification de la décision attaquée (let. b). Cet intérêt doit être actuel et pratique, c'est-à-dire qu'il doit exister non seulement au moment du dépôt du recours, mais encore au moment où l'arrêt est rendu ( ATF 137 I 296 consid. 4.2; 137 II 40 consid. 2.1; arrêts 5A_945/2018 du 21 juin 2019 consid. 1.1.1; 5A_187/2019 du 24 avril 2019 consid. 2.1). Inspiré du souci de l'économie de la procédure, cette exigence vise à garantir que le Tribunal fédéral se prononce sur des questions concrètes et non pas simplement théoriques ( ATF 144 IV 81 consid. 2.3.1; 140 IV 74 consid. 1.3.1; 136 I 274 consid. 1.3; arrêt 6B_93/2020 du 20 avril 2020 consid. 1.3); aussi l'intérêt actuel requis fera-t-il défaut, en général, lorsque la décision attaquée a été exécutée ou est devenue sans objet ( ATF 125 I 394 consid. 4a) ou encore lorsque l'admission du recours ne permettrait pas la réparation du préjudice subi (cf. ATF 127 III 41 consid. 2b; 125 II 86 consid. 5b et les références).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("intérêt virtuel"; ATF 142 I 135 consid. 1.3.1; 140 III 92 consid. 1.1 et la référence).</w:t>
      </w:r>
    </w:p>
    <w:p>
      <w:r>
        <w:rPr>
          <w:b/>
        </w:rPr>
        <w:t>E. 1.1.2</w:t>
      </w:r>
    </w:p>
    <w:p>
      <w:r>
        <w:t>Lorsque l'intérêt au recours fait défaut au moment du dépôt du mémoire, le Tribunal fédéral n'entre pas en matière sur le recours et le déclare irrecevable; en revanche, si l'intérêt disparaît en cours de procédure, le litige est déclaré sans objet et la cause rayée du rôle ( ATF 142 I 135 consid. 1.3.1; arrêts 5A_945/2018 précité consid. 1.1.2; 5A_187/2019 précité consid. 2.1 et les références). Dans la première hypothèse, le Tribunal fédéral statue en procédure ordinaire ( art. 57 ss LTF ) ou simplifiée ( art. 108 ss LTF ); dans la seconde, le juge instructeur statue comme juge unique sur la radiation du rôle, sans qu'un jugement d'irrecevabilité ne soit rendu ( art. 32 al. 2 LTF ; ATF 136 III 497 consid. 2). L' art. 32 al. 2 LTF vise les cas dans lesquels la disparition de l'intérêt au recours est relativement claire, de sorte qu'il ne reste guère matière à décision (cf. Message concernant la révision totale de l'organisation judiciaire fédérale du 28 février 2001 in FF 2001 p. 4089 ch. 4.1.2.2).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(arrêts 6B_93/2020 précité consid. 1.3; 1C_159/2019 du 31 décembre 2019 consid. 1.1). Tel est le cas en l'espèce, vu la position exprimée par la recourante dans ses observations du 31 mars 2020.</w:t>
      </w:r>
    </w:p>
    <w:p>
      <w:r>
        <w:rPr>
          <w:b/>
        </w:rPr>
        <w:t>E. 1.2</w:t>
      </w:r>
    </w:p>
    <w:p>
      <w:r>
        <w:t>La décision entreprise a pour objet le retrait à la mère du droit de déterminer le lieu de résidence des enfants et leur placement auprès du père, ainsi que les modalités du droit aux relations personnelles du parent non gardien, dans le cadre d'une procédure de protection. Par ordonnance du 28 janvier 2020, le TPAE a cependant attribué l'autorité parentale conjointe aux parents et, "en lieu et place de la mesure de placement en vigueur ( art. 310 al. 1 CC ) ", a confié "formellement" la garde des enfants au père. Il a en outre confirmé en l'état les modalités du droit de visite de la mère. Contrairement à ce que prétend la recourante, il résulte ainsi de la motivation de cette ordonnance - motivation à l'aune de laquelle le dispositif doit être interprété (arrêts 2C_176/2019 du 31 juillet 2019 consid. 1.3; 4A_561/2008 du 9 février 2009 consid. 2.6.4, non publié in ATF 135 III 259 ) - que la mesure de protection prononcée le 1er avril 2019 a été levée, ce que vient confirmer, s'il en était besoin, la "mainlevée" de la curatelle d'organisation, de surveillance et de financement du lieu de placement, figurant au chiffre 5 du dispositif de ladite ordonnance. La mesure litigieuse ayant pris fin, la recourante n'a dès lors plus d'intérêt actuel et pratique à l'annulation ou la modification de la décision attaquée, l'exercice des prérogatives parentales dont elle a été frustrée ne pouvant être compensé rétroactivement. Il est sans importance qu'entre autres griefs, la recourante soulève la violation d'un droit de nature formelle, à savoir son droit d'être entendue. Une éventuelle admission du recours n'ayant plus de portée pratique, il est superflu d'examiner ce moyen (cf. arrêts 5A_385/2019 du 8 mai 2020 consid. 7.2; 8D_7/2019 du 13 février 2020 consid. 2.1; ATF 123 II 285 consid. 4a; 120 Ia 165 consid. 1b). Quant à l' art. 6 CEDH , invoqué par la recourante à l'appui du maintien du recours, il ne donne pas nécessairement, à lui seul, un droit à un jugement de constatation de la part du Tribunal fédéral; l'exigence d'un intérêt actuel et pratique fait partie des conditions auxquelles peut être soumis, en droit national, l'exercice d'un "droit de recours effectif" ( ATF 123 II 285 consid. 4 et la référence). Le même raisonnement vaut s'agissant des modalités du droit aux relations personnelles. Dès lors qu'elles ont été "reconduites" par l'ordonnance du 28 janvier 2020, elles viennent désormais remplacer celles - au contenu identique - prononcées dans le cadre de la procédure de protection des enfants. On ne voit dès lors pas en quoi la recourante disposerait d'un intérêt actuel et pratique à recourir contre la réglementation de son droit de visite prévue par l'arrêt entrepris, qui concerne une période révolue, pas plus qu'elle n'y conserve un intérêt virtuel (cf. supra consid. 1.1.1). Les arguments invoqués par la recourante pour fonder la persistance de son intérêt à recourir sont dès lors dénués de pertinence.</w:t>
      </w:r>
    </w:p>
    <w:p>
      <w:r>
        <w:rPr>
          <w:b/>
        </w:rPr>
        <w:t>E. 2</w:t>
      </w:r>
    </w:p>
    <w:p>
      <w:r>
        <w:t>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ATF 118 Ia 488 consid. 4a; arrêts 4A_287/2019 du 6 janvier 2020 consid. 6; 5A_945/2018 du 21 juin 2019 consid. 2; 1B_132/2018 du 29 octobre 2018 consid. 1.3; 5A_670/2016 du 13 février 2017 consid. 3). En l'espèce, la recourante a provoqué la procédure déclarée sans objet et il n'apparaît pas, sur la base d'un simple examen sommaire, que les griefs soulevés dans le recours étaient bien fondés. En conséquence, la recourante prendra à sa charge les frais judiciaires. L'intimé, qui a été invité à se déterminer sur l'effet suspensif et sur la question du maintien du recours, concluant au rejet du premier et à la perte d'objet du second, a droit à des dépens pour ces écritures.</w:t>
      </w:r>
    </w:p>
    <w:p>
      <w:r>
        <w:rPr>
          <w:b/>
        </w:rPr>
        <w:t>E. 3</w:t>
      </w:r>
    </w:p>
    <w:p>
      <w:r>
        <w:t>En définitive, le recours est sans objet et la cause doit être radiée du rôle. La recourante supportera les frais judiciaires et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