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5A_1018/2015 vom 8. Juli 2016</w:t>
      </w:r>
    </w:p>
    <w:p>
      <w:r>
        <w:t>Bundesgericht, 2016-07-08, DE</w:t>
      </w:r>
    </w:p>
    <w:p>
      <w:r>
        <w:rPr>
          <w:b/>
        </w:rPr>
        <w:t xml:space="preserve">Quelle: </w:t>
      </w:r>
      <w:r>
        <w:t>https://mcp.opencaselaw.ch/entscheid/bger_5A_1018_2015</w:t>
      </w:r>
    </w:p>
    <w:p>
      <w:r>
        <w:t>FR: TF 5A_1018/2015 du 8 juillet 2016</w:t>
      </w:r>
    </w:p>
    <w:p>
      <w:r>
        <w:t>IT: TF 5A_1018/2015 del 8 luglio 2016</w:t>
      </w:r>
    </w:p>
    <w:p>
      <w:pPr>
        <w:pStyle w:val="Heading2"/>
      </w:pPr>
      <w:r>
        <w:t>Erwägungen</w:t>
      </w:r>
    </w:p>
    <w:p>
      <w:r>
        <w:rPr>
          <w:b/>
        </w:rPr>
        <w:t>E. 1</w:t>
      </w:r>
    </w:p>
    <w:p>
      <w:r>
        <w:t>Die Beschwerde richtet sich gegen den Endentscheid ( Art. 90 BGG ) einer letzten kantonalen Instanz ( Art. 75 Abs. 1 BGG ) über die Abänderung von Unterhaltsbeiträgen im Eheschutzverfahren ( Art. 179 ZGB ). Diese Zivilsache ( Art. 72 Abs. 1 BGG ) ist vermögensrechtlicher Natur. Die Streitwertgrenze ist erreicht (Art. 51 Abs. 1 Bst. a und Abs. 4; Art. 74 Abs. 1 Bst. b BGG). Auf die rechtzeitig ( Art. 100 Abs. 1 BGG ) eingereichte Beschwerde ist einzutreten.</w:t>
      </w:r>
    </w:p>
    <w:p>
      <w:r>
        <w:rPr>
          <w:b/>
        </w:rPr>
        <w:t>E. 2</w:t>
      </w:r>
    </w:p>
    <w:p>
      <w:r>
        <w:t>Eheschutzentscheide unterstehen Art. 98 BGG ( BGE 133 III 393 E. 5 S. 396 f.). Dasselbe gilt für Entscheide betreffend ihre Abänderung. Daher kann einzig die Verletzung verfassungsmässiger Rechte gerügt werden. Auch die Anwendung von Bundesgesetzen prüft das Bundesgericht im Rahmen von Art. 98 BGG nur auf die Verletzung des Willkürverbots ( Art. 9 BV ) hin (vgl. BGE 116 II 625 E. 3b S. 628; Urteil 5A_261/2009 vom 1. September 2009 E. 1.2, nicht publ. in: BGE 135 III 608 ; zum Begriff der Willkür BGE 141 I 49 E. 3.4 S. 53 ; 132 I 175 E. 1.2 S. 177 ; 131 I 467 E. 3.1 S. 473 f.).</w:t>
      </w:r>
    </w:p>
    <w:p>
      <w:r>
        <w:t>Für die Geltendmachung der Verletzung verfassungsmässiger Rechte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Auch eine Berichtigung oder Ergänzung der Sachverhaltsfeststellungen kommt nur in Frage, wenn die kantonale Instanz verfassungsmässige Rechte verletzt hat ( BGE 133 III 585 E. 4.1 S. 588). Wer sich auf eine Verletzung des Willkürverbots ( Art. 9 BV ) beruft, kann sich demnach nicht darauf beschränken, den vorinstanzlichen Entscheid als willkürlich zu bezeichnen. Vielmehr ist anhand der angefochtenen Subsumtion im Einzelnen darzutun, inwiefern der angefochtene Entscheid an einem qualifizierten und offensichtlichen Mangel leidet ( BGE 134 II 244 E. 2.2 S. 246 ; 130 I 258 E. 1.3 S. 262). Willkür liegt zudem nur vor, wenn nicht bloss die Begründung eines Entscheids, sondern auch das Ergebnis offensichtlich unhaltbar ist ( BGE 134 I 140 E. 5.4 S. 148 ; 133 I 149 E. 3.1 S. 153; 132 III 209 E. 2.1 S. 211; je mit Hinweisen).</w:t>
      </w:r>
    </w:p>
    <w:p>
      <w:r>
        <w:rPr>
          <w:b/>
        </w:rPr>
        <w:t>E. 3</w:t>
      </w:r>
    </w:p>
    <w:p>
      <w:r>
        <w:t>Die Beschwerdeführerin wirft dem Obergericht eine Verletzung ihres Anspruchs auf rechtliches Gehör vor. Das Obergericht erspare sich eine "umfassendere Prüfung" und schütze das "effektiv kaum nachvollziehbare erstinstanzliche Urteil" mit der Begründung, dass der Lebensstandard von ihr und den Kindern mit ihrem eigenen Monatseinkommen von Fr. 4'190.-- und mit den monatlichen Unterhaltszahlungen von Fr. 5'230.--, insgesamt also mit Fr. 9'420.-- (inkl. Kinderzulagen), gedeckt sei. Der Vorwurf geht an der Sache vorbei. Die Beschwerde an das Bundesgericht zeigt, dass die Beschwerdeführerin den vorinstanzlichen Entscheid verstanden hat und vor Bundesgericht sachgerecht anfechten konnte ( BGE 134 I 83 E. 4.1 S. 88; 133 III 439 E. 3.3 S. 445). Was die Beschwerdeführerin beanstandet, beschlägt nicht das rechtliche Gehör, sondern die Rechtmässigkeit des vorinstanzlichen Entscheids.</w:t>
      </w:r>
    </w:p>
    <w:p>
      <w:r>
        <w:rPr>
          <w:b/>
        </w:rPr>
        <w:t>E. 4</w:t>
      </w:r>
    </w:p>
    <w:p>
      <w:r>
        <w:t>Anlass zur Beschwerde gibt die Neufestsetzung des Unterhalts, wie sie vom Gerichtspräsidium vorgenommen und vom Obergericht bestätigt wurde. Verändern sich die Verhältnisse, so passt das Gericht auf Begehren eines Ehegatten die Eheschutzmassnahmen an oder hebt sie auf, wenn ihr Grund weggefallen ist ( Art. 179 Abs. 1 ZGB ). Eine Abänderung von Eheschutzmassnahmen setzt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gerechtfertigt erweist, weil dem Massnahmerichter wesentliche Tatsachen nicht bekannt waren. Andernfalls steht die formelle Rechtskraft des Eheschutzentscheides einer Abänderung entgegen. Insbesondere kann ein Abänderungsbegehren nicht damit begründet werden, dass die ursprünglichen Umstände in rechtlicher Hinsicht oder - gestützt auf die bereits behaupteten Tatsachen und offerierten Beweise - in tatsächlicher Hinsicht falsch gewürdigt worden seien. Denn das Abänderungsverfahren bezweckt nicht, das erste Urteil zu korrigieren, sondern es an veränderte Umstände anzupassen (Urteile 5A_555/2013 vom 29. Oktober 2013 E. 3.1; 5A_245/2013 vom 24. September 2013 E. 3.1; je mit Hinweisen). Ist die Voraussetzung der wesentlichen und dauerhaften Veränderung erfüllt, setzt der Richter den Unterhaltsbeitrag in pflichtgemässer Ausübung seines Ermessens neu fest. Hierzu sind auch die übrigen Berechnungselemente, die dem abzuändernden Entscheid zugrunde lagen, auf den neuesten Stand zu bringen. Diese Aktualisierung setzt nicht voraus, dass die Anpassungen, die der Richter in den anderen Positionen vornimmt, ebenfalls den Tatbestand der Veränderung der Verhältnisse erfüllen. Die beschriebene Regel, die das Bundesgericht in seiner Praxis betreffend die Abänderung des nachehelichen Unterhalts entwickelt hat ( BGE 138 III 289 E. 11.1.1 S. 292 mit Hinweisen), gilt auch für die Abänderung von Eheschutzmassnahmen (Urteil 5A_1003/2014 vom 26. Mai 2015 E. 3).</w:t>
      </w:r>
    </w:p>
    <w:p>
      <w:r>
        <w:rPr>
          <w:b/>
        </w:rPr>
        <w:t>E. 5</w:t>
      </w:r>
    </w:p>
    <w:p>
      <w:r>
        <w:t>Das Obergericht kommt sinngemäss zum Schluss, dass bei C.A.________ nicht mehr mit einem relevanten Durchbruch im Skirennsport zu rechnen sei. Dieser Umstand stelle in Bezug auf die im Eheschutzverfahren berücksichtigte Situation (vgl. Sachverhalt Bst. A) eine wesentliche und dauerhafte Veränderung dar, weil die Finanzierung der Sportkarriere entfalle. Der Beschwerdeführerin hält das Obergericht entgegen, sie habe nicht aufzuzeigen vermocht, dass die Parteien wegen C.A.________s Skisport besonders sparsam und unter ihren Einkommenverhältnissen gelebt hätten. Weiter verweist das Obergericht darauf, dass der Beschwerdegegner in seiner Klageantwort einen anteiligen "Überschuss" für die Beschwerdeführerin von Fr. 2'600.-- ermittelt habe. Einen entsprechend hohen Freibetrag habe auch die Klägerin aufgegriffen und damit implizit bestätigt. Etwas anderes ergebe sich auch nicht aus der Trennungsvereinbarung, auf welche die Beschwerdegegnerin implizit verwiesen habe. Darin werde bloss festgehalten, dass C.A.________ gegenüber den beiden Töchtern finanziell stark bevorzugt werde, die Beschwerdeführerin um die Finanzierung des Skisports von C.A.________ bemüht sei und der Beschwerdegegner versuche, die Wünsche der beiden Töchter im Rahmen des ordentlichen Budgets zu erfüllen. Im Ergebnis sei nicht glaubhaft gemacht, dass die Beschwerdeführerin und die Kinder für die Weiterführung der ehelichen Lebenshaltung, die den Unterhaltsanspruch nach oben begrenzt, mehr als monatlich Fr. 8'528.-- (Existenzminimum Fr. 5'128.-- + Steuern Fr. 800.-- + Freibetrag Fr. 2'600.--) benötigen würden.</w:t>
      </w:r>
    </w:p>
    <w:p>
      <w:r>
        <w:t>Die Vorinstanz erklärt, den dergestalt ermittelten Bedarf habe die Beschwerdeführerin primär aus den eigenen Mitteln (inkl. Kinderalimente) zu decken. Um die Kinderzulagen bereinigt betrügen die Kinderalimente Fr. 2'520.--. Das effektiv erzielte monatliche Erwerbseinkommen der Beschwerdeführerin belaufe sich bei einer Erwerbstätigkeit von 70 % auf netto Fr. 4'187.86. Zusammengefasst benötige die Beschwerdeführerin Fr. 1'820.-- (Fr. 8'528./. Fr. 2'520.--./. Fr. 4'187.86) pro Monat, damit sie sich (und den Kindern) einen Lebensstandard finanzieren könne, der dem ehelichen Lebensstandard entspreche; dieser Beitrag liege unter demjenigen, den ihr die Vorinstanz als Unterhalt zugesprochen habe. Soweit die Klägerin einen höheren Unterhalt verlange resp. auf Fr. 3'000.-- gemäss Eheschutzentscheid beharre, erweise sich ihre Berufung als unbegründet. Bei diesem Ergebnis stehe der Beschwerdeführerin auch kein Anspruch auf eine Beteiligung an "Zusatzzahlungen" des Beklagten zu; Ausführungen zur von den Parteien kontrovers beurteilten Frage, ob der gerichtliche Vergleich vom 19. März 2013 lückenhaft sei, würden sich daher erübrigen. Dass dem Antrag auf Auskunftserteilung eine eigenständige, vom Antrag auf Beteiligung an den "Zusatzzahlungen" unabhängige Bedeutung zukäme, werde in der Berufung nicht dargelegt.</w:t>
      </w:r>
    </w:p>
    <w:p>
      <w:r>
        <w:rPr>
          <w:b/>
        </w:rPr>
        <w:t>E. 6.1</w:t>
      </w:r>
    </w:p>
    <w:p>
      <w:r>
        <w:t>Was den Grund zur Abänderung der Eheschutzmassnahmen angeht, stellt die Beschwerdeführerin die vorinstanzliche Erkenntnis, wonach dem Sohn C.A.________ der sportliche Durchbruch als Skirennfahrer nicht gelingen werde, nicht in Abrede. Dass die Beschwerdeführerin dies bedauert und möglicherweise weiterhin auf diesen Durchbruch hofft, ändert daran nichts.</w:t>
      </w:r>
    </w:p>
    <w:p>
      <w:r>
        <w:rPr>
          <w:b/>
        </w:rPr>
        <w:t>E. 6.2</w:t>
      </w:r>
    </w:p>
    <w:p>
      <w:r>
        <w:t>Mit Bezug auf die Frage nach der bisherigen ehelichen Lebenshaltung rechnet die Beschwerdeführerin dem Bundesgericht vor, dass dem Beschwerdegegner mit dem angefochtenen Entscheid im Ergebnis wesentlich mehr Geldmittel zur Verfügung stehen als ihr und den drei Kindern. Dies sei angesichts der seit je her sehr guten wirtschaftlichen Verhältnisse "mehr als auffällig und offensichtlich stossend, ja schlicht unverständlich". Allein damit vermag die Beschwerdeführerin die tatsächliche Feststellung des Obergerichts, wonach sie mit den Kindern die bisherige eheliche Lebenshaltung mit einem monatlichen Betrag von Fr. 8'528.-- weiterführen könne, nicht als als willkürlich auszuweisen. Unbehelflich sind insbesondere ihre Hinweise auf die Trennungsvereinbarung (s. Sachverhalt Bst. A). Dort hatten die Parteien zwar festgehalten, dass die Finanzierung von C.A.________s Skirennsportkarriere vorübergehend auf eine starke finanzielle Bevorzugung des Sohnes gegenüber den Töchtern hinausläuft. Entgegen dem, was die Beschwerdeführerin glauben machen will, folgt allein daraus aber nicht zwingend ein Zugeständnis des Beschwerdegegners in dem Sinne, dass die Parteien alle vorhandenen Einkünfte für den Lebensunterhalt verbraucht, keine Sparquote erzielt oder sich zur Finanzierung von C.A.________s Skisport gar in ihrer Lebenshaltung eingeschränkt hätten. Was sodann den Überschuss von Fr. 2'600.-- angeht, den der Beschwerdegegner dem angefochtenen Entscheid zufolge für sie und die Kinder ermittelt und den sie laut Obergericht "implizit bestätigt" hat, begnügt sich die Beschwerdeführerin letztlich mit der blossen Gegenbehauptung, ein solches Zugeständnis nie gemacht und einen Überschuss immer bestritten zu haben. Welche Vorbringen sie damit meint und inwiefern die Vorinstanzen diese in verfassungswidriger Art und Weise nicht zur Kenntnis genommen oder falsch ausgelegt hätten, vermag sie nicht darzutun. Schliesslich reklamiert die Beschwerdeführerin, sie und die Kinder nicht von den Zusatz- und Sondereinkünften des Beschwerdegegners profitieren zu lassen, verletze nicht nur "offensichtlich und stossend jedes Gerechtigkeitsempfinden", sondern sei auch "widersprüchlich und damit willkürlich". Auch diese Rüge ist zum Scheitern verurteilt. Allein aus der Tatsache, dass die kantonalen Instanzen die Beschwerdeführerin und die Kinder am Zusatzeinkommen beteiligen, das der Beschwerdegegner im Jahr 2014 verdient hat, kann die Beschwerdeführerin nichts zu ihren Gunsten ableiten. Dieses nur einzelne Jahre betreffende Zugeständnis an die Beschwerdeführerin mutet zwar tatsächlich etwas widersprüchlich an. Daraus folgt aber nicht zwingend, dass die Beschwerdeführerin auch in den übrigen Jahren und in Zukunft Anspruch auf dieses Zusatzeinkommen hätte. Im Übrigen ist die Beschwerdeführerin daran zu erinnern, dass ein Abänderungsverfahren nicht dazu bestimmt ist, einen ursprünglich fehlerhaften Eheschutzentscheid zu korrigieren (E. 4). Dies gilt auch dann, wenn es die Beschwerdeführerin heute als ungerecht empfindet, dass dem Beschwerdegegner zumindest in jenen Jahren erheblich mehr Mittel als ihr zur Verfügung stehen, in denen er ein Zusatzeinkommen erzielt.</w:t>
      </w:r>
    </w:p>
    <w:p>
      <w:r>
        <w:rPr>
          <w:b/>
        </w:rPr>
        <w:t>E. 6.3</w:t>
      </w:r>
    </w:p>
    <w:p>
      <w:r>
        <w:t>Im Streit darüber, wie die bisherige eheliche Lebenshaltung zu finanzieren sei, wehrt sich die Beschwerdeführerin dagegen, dass ihr im Rahmen ihrer Eigenversorgungskapazität ihr ganzes Erwerbseinkommen aus ihrem 70%-Pensum angerechnet wird. Sie verweist auf die Rechtsprechung, wonach dem betreuenden Elternteil bis zum 16. Altersjahr des jüngsten Kindes nicht mehr als ein 50%-Pensum zugemutet werden könne, und beruft sich auf die Trennungsvereinbarung (s. Sachverhalt Bst. A), in welcher der Beschwerdegegner ausdrücklich anerkannt habe, dass ihr zukünftiges Einkommen nicht relevant für die Unterhaltsberechnung sei und sie diese Mittel für die Finanzierung von C.A.________s Skisportkarriere verwenden dürfe. Angesichts dessen verletze der angefochtene Entscheid in stossender Weise die Bindungswirkung des ursprünglichen Eheschutzentscheids und das bei ihr geweckte Vertrauen. Ausserdem werde ihre unbestritten gebliebene Darstellung negiert, wonach sie dieses Mehrpensum nur deshalb leiste, um dem geliebten Sohn - immerhin aktenkundig trotz erst kürzlich abgeschlossener Maturität der beste Aargauer Skirennfahrer - doch noch die Chance auf den sportlichen Durchbruch zu ermöglichen. Auch diese Rügen sind unbegründet. Zunächst ergibt sich aus den tatsächlichen Feststellungen des Obergerichts, dass auch die ursprüngliche Trennungsvereinbarung (s. Sachverhalt Bst. A) die Finanzierung von C.A.________s Skirennsport unter den Vorbehalt des sportlichen Durchbruchs stellt. Die Beschwerdeführerin schweigt sich darüber aus, warum das Obergericht, nachdem diese Sportkarriere als gescheitert gelten muss (E. 6.1), trotzdem geradezu zwingend zu ihren Gunsten eine Vertrauenslage hätte berücksichtigen müssen. Im Übrigen mag es zutreffen, dass die Beschwerdeführerin bisher nur deshalb ein Arbeitspensum von 70 % auf sich genommen hat, um ihrem Sohn weiterhin eine Karriere als Skirennfahrer zu ermöglichen. Allein unter Willkürgesichtspunkten (s. E. 2) ist es nicht zu beanstanden, wenn die Vorinstanz davon ausgeht, dass ihr das entsprechende Einkommen auch nach C.A.________s verpasstem Durchbruch weiterhin zuzumuten ist. Der Beschwerdeführerin ist es unbenommen, ihren Sohn weiterhin zu unterstützen. Indessen hält es vor der Verfassung stand, wenn das Obergericht es nicht zulässt, dass sie diese finanzielle Last im Ergebnis dem Beschwerdegegner aufbürdet.</w:t>
      </w:r>
    </w:p>
    <w:p>
      <w:r>
        <w:rPr>
          <w:b/>
        </w:rPr>
        <w:t>E. 7</w:t>
      </w:r>
    </w:p>
    <w:p>
      <w:r>
        <w:t>Die Beschwerdeführerin verlangt zusätzlich eine Neuverteilung der Kosten des erst- und zweitinstanzlichen Verfahrens. Der Beschwerde lässt sich jedoch nicht entnehmen, dass die Beschwerdeführerin an der Behandlung dieser Anträge losgelöst von der Begründetheit ihres Antrags in der Hauptsache interessiert wäre. Deshalb ist auf die entsprechenden Anträge mangels selbständiger Begründung ( Art. 42 Abs. 2 BGG ) nicht einzutreten.</w:t>
      </w:r>
    </w:p>
    <w:p>
      <w:r>
        <w:rPr>
          <w:b/>
        </w:rPr>
        <w:t>E. 8</w:t>
      </w:r>
    </w:p>
    <w:p>
      <w:r>
        <w:t>Im Ergebnis erweist sich die Beschwerde als unbegründet. Sie ist abzuweisen. Damit hat die Beschwerdeführerin für die Gerichtskosten aufzukommen ( Art. 66 Abs. 1 Satz 1 BGG ). Parteikosten werden keine zugesprochen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