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1016/2021 vom 5. April 2022</w:t>
      </w:r>
    </w:p>
    <w:p>
      <w:r>
        <w:t>Bundesgericht, 2022-04-05, FR</w:t>
      </w:r>
    </w:p>
    <w:p>
      <w:r>
        <w:rPr>
          <w:b/>
        </w:rPr>
        <w:t xml:space="preserve">Quelle: </w:t>
      </w:r>
      <w:r>
        <w:t>https://mcp.opencaselaw.ch/entscheid/bger_5A_1016_2021</w:t>
      </w:r>
    </w:p>
    <w:p>
      <w:r>
        <w:t>FR: TF 5A 1016/2021 du 5 avril 2022</w:t>
      </w:r>
    </w:p>
    <w:p>
      <w:r>
        <w:t>IT: TF 5A 1016/2021 del 5 aprile 2022</w:t>
      </w:r>
    </w:p>
    <w:p>
      <w:pPr>
        <w:pStyle w:val="Heading2"/>
      </w:pPr>
      <w:r>
        <w:t>Regeste</w:t>
      </w:r>
    </w:p>
    <w:p>
      <w:r>
        <w:t>modification des mesures protectrices de l'union conjugale; mesures provisionnelles (garde et entretien) | Droit de la famille</w:t>
      </w:r>
    </w:p>
    <w:p>
      <w:pPr>
        <w:pStyle w:val="Heading2"/>
      </w:pPr>
      <w:r>
        <w:t>Erwägungen</w:t>
      </w:r>
    </w:p>
    <w:p>
      <w:r>
        <w:rPr>
          <w:b/>
        </w:rPr>
        <w:t>E. 1</w:t>
      </w:r>
    </w:p>
    <w:p>
      <w:r>
        <w:t>Les conditions du recours en matière civile sont ici réalisées (art. 72 al. 1, art. 75 al. 1 et 2, art. 76 al. 1 let. a et b, art. 90 et art. 100 al. 1 LTF ), étant précisé qu'en tant que le recours porte exclusivement sur la garde de l'enfant des parties, la cause n'est pas de nature pécuniaire.</w:t>
      </w:r>
    </w:p>
    <w:p>
      <w:r>
        <w:rPr>
          <w:b/>
        </w:rPr>
        <w:t>E. 2.1</w:t>
      </w:r>
    </w:p>
    <w:p>
      <w:r>
        <w:t>La décision entreprise porte sur des mesures provisionnelles au sens de l' art. 98 LTF , en sorte que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147 IV 73 consid. 4.1.2; 145 IV 154 consid. 1.1 et les références).</w:t>
      </w:r>
    </w:p>
    <w:p>
      <w:r>
        <w:rPr>
          <w:b/>
        </w:rPr>
        <w:t>E. 3</w:t>
      </w:r>
    </w:p>
    <w:p>
      <w:r>
        <w:t>La recourante soulève d'abord la violation de son droit d'être entendue, singulièrement l'absence de toute motivation cantonale concernant son grief lié à la disponibilité insuffisante de l'intimé les jours où celui-ci à la garde de l'enfant. L'on comprend du raisonnement suivi par les juges cantonaux que ce grief n'a pas été jugé déterminant dans le contexte d'une requête visant à modifier les modalités de garde convenues sur mesures protectrices ( infra consid. 4), circonstance qui suffit à rejeter le grief invoqué ( ATF 142 II 154 consid. 4.2 et les références). La recourante l'a d'ailleurs parfaitement compris en tant qu'elle fonde l'arbitraire de l'appréciation cantonale largement sur ce point ( infra consid. 4.2.1).</w:t>
      </w:r>
    </w:p>
    <w:p>
      <w:r>
        <w:rPr>
          <w:b/>
        </w:rPr>
        <w:t>E. 4</w:t>
      </w:r>
    </w:p>
    <w:p>
      <w:r>
        <w:t>La recourante reproche à la cour cantonale d'avoir arbitrairement maintenu la garde alternée, invoquant l'arbitraire dans l'établissement des faits et l'appréciation des preuves.</w:t>
      </w:r>
    </w:p>
    <w:p>
      <w:r>
        <w:rPr>
          <w:b/>
        </w:rPr>
        <w:t>E. 4.1</w:t>
      </w:r>
    </w:p>
    <w:p>
      <w:r>
        <w:t>Les règles relatives aux modifications de mesures protectrices de l'union conjugale s'appliquent par analogie en cas de changement pendant une procédure de divorce ( art. 179 al. 1 CC et art. 276 CPC ; ATF 143 III 617 consid. 3.1). Conformément à l' art. 176 al. 3 CC , relatif à l'organisation de la vie séparée, lorsque les époux ont des enfants mineurs, le juge ordonne les mesures nécessaires d'après les dispositions sur les effets de la filiation (cf. art. 273 ss CC ); la possibilité d'une garde alternée est examinée en cas d'autorité parentale conjointe ( art. 298 al. 2ter CC ). Une fois ordonnées, les mesures protectrices de l'union conjugale ne peuvent être modifiées que si, depuis leur entrée en vigueur, les circonstances de fait ont changé d'une manière essentielle et durable, ou encore si le juge s'est fondé sur des faits qui se sont révélés faux ou ne se sont par la suite pas réalisés comme prévus. Une modification peut également être demandée si la décision de mesures provisionnelles est apparue plus tard injustifiée parce que le juge appelé à statuer n'a pas eu connaissance de faits importants ( art. 179 al. 1 CC avec l' art. 276 CPC ; ATF 147 III 301 consid. 3.1; 143 III 617 consid. 3.1; 141 III 376 consid. 3.3.1 et les références. S'agissant de la modification de la garde ou du droit de visite ( art. 179 al. 1 2 ème phrase avec les art. 134 al. 2 et 298 al. 2 CC), il suffit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La modification ne peut donc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(arrêts 5A_770/2021 du 4 mars 2022 consid. 3.1 et les nombreuses références; concernant l' art. 134 CC : arrêts 5A_433/2020 du 15 décembre 2020 consid. 3.1; 5A_228/2020 du 3 août 2020 consid. 3.1; 5A_781/2015 du 14 mars 2016 consid. 3.2.2 et les références). Savoir si une modification essentielle est survenue par rapport à la situation existant au moment où la décision initiale a été prise doit s'apprécier en fonction de toutes les circonstances du cas d'espèce et relève du pouvoir d'appréciation du juge ( art. 4 CC ; arrêts 5A_770/2021 précité ibid.; 5A_800/2021 du 25 janvier 2022 consid. 5.1 et les références). Le Tribunal fédéral n'intervient que si l'autorité cantonale a pris en considération des éléments qui ne jouent aucun rôle au sens de la loi ou a omis de tenir compte de facteurs essentiels ( ATF 144 III 442 consid. 2.6; 142 III 336 consid. 5.3.2; 138 III 650 consid. 6.6).</w:t>
      </w:r>
    </w:p>
    <w:p>
      <w:r>
        <w:rPr>
          <w:b/>
        </w:rPr>
        <w:t>E. 4.2</w:t>
      </w:r>
    </w:p>
    <w:p>
      <w:r>
        <w:t>L'argumentation développée par la recourante ne permet aucunement de retenir que les conditions permettant une modification des modalités de garde de l'enfant seraient ici réalisées.</w:t>
      </w:r>
    </w:p>
    <w:p>
      <w:r>
        <w:rPr>
          <w:b/>
        </w:rPr>
        <w:t>E. 4.2.1</w:t>
      </w:r>
    </w:p>
    <w:p>
      <w:r>
        <w:t>Elle reproche d'abord à l'autorité cantonale de ne pas avoir tenu compte des nouvelles disponibilités de l'intimé: depuis un changement dans ses horaires de travail, celui-ci ne pourrait s'occuper personnellement de leur enfant que le mercredi; il confierait ainsi C.________ à différents intervenants, dont l'accord n'aurait de surcroît pas été démontré, créant ainsi une instabilité pour la fillette alors qu'elle-même serait entièrement disponible pour la prendre en charge personnellement. Selon le rapport du SEJ, sur lequel s'est fondée la cour cantonale, les deux parents étaient disponibles pour assurer la garde de leur fille: la mère avait une petite activité de création de bijoux indépendante; le père, travaillant à 80% avec un jour de congé le mercredi, avait la possibilité de faire garder sa fille par sa compagne, sa soeur ou sa mère en cas de besoin. A supposer que l'emploi du temps de l'intimé ait été modifié depuis la décision instaurant la garde partagée et sa disponibilité moindre - ce qui ne ressort pas clairement de l'arrêt entrepris, mais uniquement des allégations de la recourante -, la recourante perd de vue que ce nouvel élément factuel doit de surcroît desservir le bien de l'enfant au point de nécessiter la modification des modalités de sa garde (consid. 4.1 supra ). Or rien dans son argumentation ne permet de parvenir à une telle conclusion, l'intéressée se limitant à opposer sa plus large disponibilité personnelle, prétendument garante de la stabilité de la fillette. Cette circonstance n'apparaît pourtant nullement décisive dès lors que, vu l'âge de C.________, la prise en charge par un parent ou celle assurée par un tiers doivent être considérées comme ayant la même valeur ( ATF 144 III 481 consid. 4.6.3, 4.7.1 et 4.7.4; arrêt 5A_1037/2020 du 16 décembre 2020 consid. 4), les personnes intervenant ici étant au demeurant des proches de l'enfant; celle-ci est d'ailleurs scolarisée et peut enfin demeurer avec son père une fois celui-ci libéré de ses contraintes professionnelles. Le fait que la garde partagée n'aurait jamais été mise en oeuvre par les parties ne ressort du reste nullement de la décision entreprise, en sorte que cette allégation, nouvelle, apparaît irrecevable ( art. 99 al. 1 LTF ). Il s'ensuit qu'autant que recevables, les critiques formulées par la recourante doivent être rejetées.</w:t>
      </w:r>
    </w:p>
    <w:p>
      <w:r>
        <w:rPr>
          <w:b/>
        </w:rPr>
        <w:t>E. 4.2.2</w:t>
      </w:r>
    </w:p>
    <w:p>
      <w:r>
        <w:t>Une partie des critiques que la recourante élève également s'apparentent plus à celles qu'il conviendrait de soulever dans le contexte d'une procédure en fixation des modalités de garde que dans celle visant à la modification de celles-ci: elles consistent en effet essentiellement à reprocher à l'autorité cantonale d'avoir évalué de manière lacunaire les capacités éducatives de l'intimé, pourtant jugées tout à fait adéquates par le SEJ. La recourante se focalise à cet égard principalement sur un évènement de maltraitance sous la douche, prétendument survenu chez l'intimé (épisode chaud-froid sur les parties génitales). En admettant que l'on puisse envisager ce fait comme permettant d'envisager une modification des modalités de garde, il s'agit de relever que la cour cantonale a retenu que sa réalité n'avait pas été établie, se référant à l'analyse détaillée effectuée à cet égard par la première juge. L'autorité cantonale a ainsi souligné la vive contestation de cet évènement par l'intimé, lequel avait déposé une plainte pénale pour diffamation; l'incompatibilité des propos qu'aurait tenus l'enfant avec son développement; la variation des déclarations de la mère dans le rapport de l'évènement; le diagnostic de cystite posé deux jours après par la pédiatre sans constat d'éléments corroborant la situation relatée par la mère et l'absence de suite pénale donnée par celle-ci à la situation, malgré son caractère relativement grave. Contrairement à ce qu'allègue la recourante, l'on ne saurait manifestement reprocher aux juges cantonaux un examen sommaire de cet évènement; au surplus, les critiques qu'elle élève sont essentiellement appellatoires, l'intéressée se bornant ainsi à invoquer son stress pour expliquer les variations de ses déclarations et son défaut d'habilitation à représenter sa fille dans le contexte d'une procédure pénale ou remettant enfin en cause le diagnostic d'infection urinaire.</w:t>
      </w:r>
    </w:p>
    <w:p>
      <w:r>
        <w:rPr>
          <w:b/>
        </w:rPr>
        <w:t>E. 4.2.3</w:t>
      </w:r>
    </w:p>
    <w:p>
      <w:r>
        <w:t>La recourante tente encore d'appuyer le bien-fondé de sa requête sur les changements dans le comportement de l'enfant (crises de larmes, énurésie, cauchemars réguliers, agitation). Si ces changements ont certes été relevés par la cour cantonale, celle-ci les a néanmoins reliés non pas directement à la reprise des visites, mais au conflit entre les parties, qui lui, n'était pas nouveau. Contrairement à ce que soutient la recourante, aucun élément ne permet d'inférer une accentuation de l'intensité de ce conflit de la survenance des perturbations susmentionnées chez l'enfant, dont elle ne nie pas qu'elles en sont le corollaire. Quoique l'affirme la recourante, l'on ne peut enfin déduire du rapport de la psychologue de l'enfant que la garde partagée serait susceptible d'engendrer des conséquences sur le développement psychique de la fillette: mettant en doute la neutralité de l'intervenante, la cour cantonale a relevé de surcroît que celle-ci avait fait usage du conditionnel dans son affirmation et n'expliquait pas en quoi un autre mode de garde serait plus bénéfique pour l'enfant.</w:t>
      </w:r>
    </w:p>
    <w:p>
      <w:r>
        <w:rPr>
          <w:b/>
        </w:rPr>
        <w:t>E. 4.3</w:t>
      </w:r>
    </w:p>
    <w:p>
      <w:r>
        <w:t>En définitive, force est d'admettre que la recourante échoue à démontrer l'existence d'un fait nouveau susceptible de porter atteinte au bien de l'enfant et justifiant ainsi de remettre en cause la garde partagée initialement prévue dans la décision de mesures protectrices de l'union conjugale.</w:t>
      </w:r>
    </w:p>
    <w:p>
      <w:r>
        <w:rPr>
          <w:b/>
        </w:rPr>
        <w:t>E. 5</w:t>
      </w:r>
    </w:p>
    <w:p>
      <w:r>
        <w:t>La recourante paraît également s'en prendre, du moins entre les lignes, au refus de la cour cantonale de mettre en oeuvre une expertise pédopsychiatrique, pourtant préconisée par le Dr D.________. L'on ignore à quoi fait référence la recourante. La cour cantonale a certes refusé la mise sur pied d'une expertise psychiatrique des parents, préconisée par le SEJ, mais l'éventualité d'une expertise pédopsychiatrique ne ressort nullement de l'arrêt déféré; aucune indication n'est donnée par la recourante quant aux circonstances de l'intervention dans la procédure du Dr D.________, dont l'on ne connaît d'ailleurs aucunement les spécialisations. A défaut de toute motivation satisfaisante, il ne sera donc pas donné suite à ce grief.</w:t>
      </w:r>
    </w:p>
    <w:p>
      <w:r>
        <w:rPr>
          <w:b/>
        </w:rPr>
        <w:t>E. 6</w:t>
      </w:r>
    </w:p>
    <w:p>
      <w:r>
        <w:t>Le recours est rejeté dans la mesure où il est recevable. La requête d'assistance judiciaire de la recourante est rejetée en tant que ces conclusions étaient d'emblée vouées à l'échec ( art. 64 al. 1 LTF ) et les frais judiciaires sont en conséquence mis à sa charge ( art. 66 al. 1 LTF ). L'intimé, qui a obtenu gain de cause s'agissant de l'effet suspensif mais n'a pas été invité à se déterminer sur le fond, a droit à une indemnité de dépens réduits ( art. 68 al. 1 et 2 LTF ), ce qui rend sa demande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