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5A_1012/2025 vom 24. November 2025</w:t>
      </w:r>
    </w:p>
    <w:p>
      <w:r>
        <w:t>Bundesgericht, 2025-11-24, DE</w:t>
      </w:r>
    </w:p>
    <w:p>
      <w:r>
        <w:rPr>
          <w:b/>
        </w:rPr>
        <w:t xml:space="preserve">Quelle: </w:t>
      </w:r>
      <w:r>
        <w:t>https://mcp.opencaselaw.ch/entscheid/bger_5A_1012_2025</w:t>
      </w:r>
    </w:p>
    <w:p>
      <w:r>
        <w:t>FR: TF 5A_1012/2025 du 24 novembre 2025</w:t>
      </w:r>
    </w:p>
    <w:p>
      <w:r>
        <w:t>IT: TF 5A_1012/2025 del 24 novembre 2025</w:t>
      </w:r>
    </w:p>
    <w:p>
      <w:pPr>
        <w:pStyle w:val="Heading2"/>
      </w:pPr>
      <w:r>
        <w:t>Erwägungen</w:t>
      </w:r>
    </w:p>
    <w:p>
      <w:r>
        <w:rPr>
          <w:b/>
        </w:rPr>
        <w:t>E. 1</w:t>
      </w:r>
    </w:p>
    <w:p>
      <w:r>
        <w:t>Angefochten ist ein kantonal letztinstanzlicher Entscheid in einer Kindesschutzsache; die Beschwerde in Zivilsachen steht offen (Art. 72 Abs. 2 lit. b Ziff. 6, Art. 75 Abs. 1 und Art. 90 BGG ).</w:t>
      </w:r>
    </w:p>
    <w:p>
      <w:r>
        <w:rPr>
          <w:b/>
        </w:rPr>
        <w:t>E. 2</w:t>
      </w:r>
    </w:p>
    <w:p>
      <w:r>
        <w:t>Die Beschwerdeführerin bittet um "Anordnung einer Verbeiständung zur Unterstützung meiner Eingaben". Indes ist es nicht am Bundesgericht, Anwälte zu vermitteln, und weil die Beschwerdeführerin ihre Beschwerde erst bei Ablauf der Rechtsmittelfrist erhoben hat, war es auch gegenstandslos, sie mit Schreiben darauf hinzuweisen, dass sie selbst für eine Vertretung besorgt sein müsste.</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Die Beschwerde besteht zum grossen Teil aus einer Sachverhaltsschilderung aus eigener Sicht, welche durchgängig appellatorisch bleibt und teils auch am - auf die Fragen der Aufhebung der Beistandschaft und die Kostentragung für die Beistandschaft beschränkten - Anfechtungsgegenstand vorbeigeht (z.B. der Sohn sei durch die KESB in der Schule angehört worden und hierfür unangekündigt aus dem Unterricht geholt worden). In rechtlicher Hinsicht setzt sich die Beschwerdeführerin nicht mit den ausführlichen Erwägungen des 18-seitigen angefochtenen Entscheides auseinander, sondern sie macht abstrakt geltend, in Verletzung von Art. 16, Art. 296 Abs. 2, Art. 301, Art. 307 und 308 sowie Art. 310 ZGB liege eine Verletzung des Selbstbestimmungsrechtes des Kindes und eine Kindeswohlgefährdung vor.</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