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1011/2017 vom 22. Dezember 2017</w:t>
      </w:r>
    </w:p>
    <w:p>
      <w:r>
        <w:t>Bundesgericht, 2017-12-22, DE</w:t>
      </w:r>
    </w:p>
    <w:p>
      <w:r>
        <w:rPr>
          <w:b/>
        </w:rPr>
        <w:t xml:space="preserve">Quelle: </w:t>
      </w:r>
      <w:r>
        <w:t>https://mcp.opencaselaw.ch/entscheid/bger_5A_1011_2017</w:t>
      </w:r>
    </w:p>
    <w:p>
      <w:r>
        <w:t>FR: TF 5A 1011/2017 du 22 décembre 2017</w:t>
      </w:r>
    </w:p>
    <w:p>
      <w:r>
        <w:t>IT: TF 5A 1011/2017 del 22 dicembre 2017</w:t>
      </w:r>
    </w:p>
    <w:p>
      <w:pPr>
        <w:pStyle w:val="Heading2"/>
      </w:pPr>
      <w:r>
        <w:t>Regeste</w:t>
      </w:r>
    </w:p>
    <w:p>
      <w:r>
        <w:t>Unentgeltliche Rechtspflege (Eheschutz) | Familienrecht</w:t>
      </w:r>
    </w:p>
    <w:p>
      <w:pPr>
        <w:pStyle w:val="Heading2"/>
      </w:pPr>
      <w:r>
        <w:t>Erwägungen</w:t>
      </w:r>
    </w:p>
    <w:p>
      <w:r>
        <w:rPr>
          <w:b/>
        </w:rPr>
        <w:t>E. 1</w:t>
      </w:r>
    </w:p>
    <w:p>
      <w:r>
        <w:t>Die Beschwerde hat eine Begründung zu enthalten, in welcher in gedrängter Form dargelegt wird, inwiefern der angefochtene Entscheid Recht verletzt ( Art. 42 Abs. 2 BGG ), was eine Auseinandersetzung mit der Begründung des angefochtenen Entscheides erfordert ( BGE 140 III 115 E. 2 S. 116). Eine solche Auseinandersetzung erfolgt nicht. Der Beschwerdeführer äussert sich lediglich zu seinem Nettolohn und seinen Ausgaben und hält fest, seine Ehefrau arbeite weniger als 50 % als Yogalehrerin, weshalb ihr Unterhaltsanspruch missbräuchlich sei. Indes erfolgen keinerlei Ausführungen, dass und inwiefern das Obergericht gegen Recht verstossen haben könnte, wenn es mangels eines begründeten erstinstanzlichen Entscheides nicht auf die Beschwerde eintrat, sondern die Eingabe im Sinn eines Antrages auf Begründung zur weiteren Behandlung an die erste Instanz überwies (vgl. dazu Art. 239 Abs. 2 und Art. 321 Abs. 1 ZPO ).</w:t>
      </w:r>
    </w:p>
    <w:p>
      <w:r>
        <w:rPr>
          <w:b/>
        </w:rPr>
        <w:t>E. 2</w:t>
      </w:r>
    </w:p>
    <w:p>
      <w:r>
        <w:t>Nach dem Gesagten erweist sich die Beschwerde als offensichtlich nicht hinreichend begründet, weshalb auf sie nicht eingetreten werden kann und der Präsident im vereinfachten Verfahren entscheidet ( Art. 108 Abs. 1 lit. b BGG ).</w:t>
      </w:r>
    </w:p>
    <w:p>
      <w:r>
        <w:rPr>
          <w:b/>
        </w:rPr>
        <w:t>E. 3</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