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5A_1010/2021 vom 22. Dezember 2021</w:t>
      </w:r>
    </w:p>
    <w:p>
      <w:r>
        <w:t>Bundesgericht, 2021-12-22, DE</w:t>
      </w:r>
    </w:p>
    <w:p>
      <w:r>
        <w:rPr>
          <w:b/>
        </w:rPr>
        <w:t xml:space="preserve">Quelle: </w:t>
      </w:r>
      <w:r>
        <w:t>https://mcp.opencaselaw.ch/entscheid/bger_5A_1010_2021</w:t>
      </w:r>
    </w:p>
    <w:p>
      <w:r>
        <w:t>FR: TF 5A_1010/2021 du 22 décembre 2021</w:t>
      </w:r>
    </w:p>
    <w:p>
      <w:r>
        <w:t>IT: TF 5A_1010/2021 del 22 dicembre 2021</w:t>
      </w:r>
    </w:p>
    <w:p>
      <w:pPr>
        <w:pStyle w:val="Heading2"/>
      </w:pPr>
      <w:r>
        <w:t>Erwägungen</w:t>
      </w:r>
    </w:p>
    <w:p>
      <w:r>
        <w:rPr>
          <w:b/>
        </w:rPr>
        <w:t>E. 1</w:t>
      </w:r>
    </w:p>
    <w:p>
      <w:r>
        <w:t>Nachdem der Beschwerdeführer früheren Pfändungsankündigungen keine Folge geleistet hatte, lud ihn das Betreibungsamt Appenzeller Vorderland mit Pfändungsankündigungen vom 14. Juli 2021 erneut zur Pfändung auf dem Amt vor.</w:t>
      </w:r>
    </w:p>
    <w:p>
      <w:r>
        <w:t>Gegen diese Pfändungsankündigungen erhob der Beschwerdeführer am 31. Juli 2021 (Postaufgabe) Beschwerde beim Obergericht Appenzell Ausserrhoden. Mit Entscheid vom 17. November 2021 trat das Obergericht auf die Beschwerde mangels Vorliegens eines zulässigen Beschwerdegrundes und damit Fehlens der sachlichen Zuständigkeit nicht ein.</w:t>
      </w:r>
    </w:p>
    <w:p>
      <w:r>
        <w:t>Am 30. November 2021 (Postaufgabe) ist der Beschwerdeführer mit einer Eingabe und einer von ihm handschriftlich bearbeiteten Ausfertigung des obergerichtlichen Entscheids an das Obergericht gelangt. Das Obergericht hat die Eingaben dem Bundesgericht übermittelt ( Art. 48 Abs. 3 BGG ).</w:t>
      </w:r>
    </w:p>
    <w:p>
      <w:r>
        <w:rPr>
          <w:b/>
        </w:rPr>
        <w:t>E. 2</w:t>
      </w:r>
    </w:p>
    <w:p>
      <w:r>
        <w:t>Der Beschwerdeführer scheint davon auszugehen, er könne den obergerichtlichen Entscheid selber korrigieren und es gehe nur noch darum, den korrigierten Entscheid bekannt zu machen, wozu er das Obergericht auffordert. Dies ist offensichtlich nicht der Fall. Da er in den Eingaben hinreichend zum Ausdruck bringt, mit dem tatsächlich vom Obergericht gefällten Entscheid nicht einverstanden zu sein, ist von einem genügenden Beschwerdewillen auszugehen.</w:t>
      </w:r>
    </w:p>
    <w:p>
      <w:r>
        <w:t>Der angefochtene Entscheid ist ein Nichteintretensentscheid. Thema des bundesgerichtlichen Verfahrens ist demnach einzig,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Eine solche Auseinandersetzung erfolgt nicht. Sie liegt weder darin, dass der Beschwerdeführer einzelne Erwägungen des angefochtenen Entscheids durchgestrichen hat, noch darin, dass er sinngemäss wiederholt, die Schuld bestehe nicht mehr. Er setzt sich nicht mit der obergerichtlichen Erwägung auseinander, dass Letzteres gerade nicht Thema des betreibungsrechtlichen Aufsichtsverfahrens ist, sondern in einem Verfahren nach Art. 85 oder Art. 85a SchKG zu prüfen wäre.</w:t>
      </w:r>
    </w:p>
    <w:p>
      <w:r>
        <w:t>Die Beschwerde enthält offensichtlich keine hinreichende Begründung. Auf sie ist im vereinfachten Verfahren durch das präsidierende Mitglied der Abteilung nicht einzutreten ( Art. 108 Abs. 1 lit. b BGG ).</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