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5A_100/2026 vom 11. Februar 2026</w:t>
      </w:r>
    </w:p>
    <w:p>
      <w:r>
        <w:t>Bundesgericht, 2026-02-11, FR</w:t>
      </w:r>
    </w:p>
    <w:p>
      <w:r>
        <w:rPr>
          <w:b/>
        </w:rPr>
        <w:t xml:space="preserve">Quelle: </w:t>
      </w:r>
      <w:r>
        <w:t>https://mcp.opencaselaw.ch/entscheid/bger_5A_100_2026</w:t>
      </w:r>
    </w:p>
    <w:p>
      <w:r>
        <w:t>FR: TF 5A_100/2026 du 11 février 2026</w:t>
      </w:r>
    </w:p>
    <w:p>
      <w:r>
        <w:t>IT: TF 5A_100/2026 del 11 febbraio 2026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Par décision du 4 avril 2025 (AC/880/2025), la Vice-présidence du Tribunal civil du canton de Genève a accordé à A.________ le bénéfice de l'assistance judiciaire, avec effet au 2 avril 2025, aux fins de se défendre dans une procédure de mesures protectrices de l'union conjugale et désigné Me Vanessa Green (avocate de choix). Le même jour (AC/879/2025), elle lui a accordé l'assistance judiciaire, avec effet à la même date, pour la procédure de divorce (sur requête unilatérale) et désigné l'avocate prénommée.</w:t>
      </w:r>
    </w:p>
    <w:p>
      <w:r>
        <w:rPr>
          <w:b/>
        </w:rPr>
        <w:t>E. 1.2</w:t>
      </w:r>
    </w:p>
    <w:p>
      <w:r>
        <w:t>Statuant le 19 juin 2025 par voie de mesures protectrices de l'union conjugale, le Tribunal de première instance de Genève a, notamment, astreint le père à contribuer à l'entretien des enfants (ch. 6) et l'épouse à lui verser une contribution d'entretien (ch. 7).</w:t>
      </w:r>
    </w:p>
    <w:p>
      <w:r>
        <w:t>Par décision du 11 juillet 2025 - relative à la cause AC/880/2025 -, la Vice-présidence du Tribunal civil a accordé à l'épouse le bénéfice de l'assistance judiciaire pour la procédure d'appel à l'encontre du jugement précité et commis à cette fin Me Vanessa Green.</w:t>
      </w:r>
    </w:p>
    <w:p>
      <w:r>
        <w:rPr>
          <w:b/>
        </w:rPr>
        <w:t>E. 1.3</w:t>
      </w:r>
    </w:p>
    <w:p>
      <w:r>
        <w:t>Le 29 juillet 2025, l'épouse a sollicité la nomination de Me B.________ en remplacement de son avocate actuelle; à l'appui de cette requête, elle a invoqué une "</w:t>
      </w:r>
    </w:p>
    <w:p>
      <w:r>
        <w:t>rupture du lien de confiance ".</w:t>
      </w:r>
    </w:p>
    <w:p>
      <w:r>
        <w:t>Par décision du 19 août 2025, la Vice-présidence du Tribunal civil a rejeté la requête. Cette décision a été confirmée le 10 décembre 2025 par la Vice-présidente de la Cour de justice du canton de Genève.</w:t>
      </w:r>
    </w:p>
    <w:p>
      <w:r>
        <w:rPr>
          <w:b/>
        </w:rPr>
        <w:t>E. 2</w:t>
      </w:r>
    </w:p>
    <w:p>
      <w:r>
        <w:t>Par mémoire expédié le 2 février 2026, la requérante forme un recours en matière civile au Tribunal fédéral contre la décision "</w:t>
      </w:r>
    </w:p>
    <w:p>
      <w:r>
        <w:t>de la Cour de Justice (...) dans le cadre de la procédure AC/880/2025 ".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Il résulte clairement du dispositif de la décision attaquée - comme de l'intitulé du recours - que la requête en changement du conseil d'office s'inscrit dans la procédure de mesures protectrices de l'union conjugale opposant les époux (</w:t>
      </w:r>
    </w:p>
    <w:p>
      <w:r>
        <w:t>i.e. cause AC/880/2025). Ces mesures étant des mesures provisionnelles selon l' art. 98 LTF (parmi plusieurs: ATF 149 III 81 consid. 1.3), le régime qui leur est applicable vaut aussi pour les décisions incidentes - en l'occurrence quant au changement d'avocat d'office - rendues dans ce contexte. Il s'ensuit que, contrairement à ce que soutient la recourante, le délai de recours n'a pas "</w:t>
      </w:r>
    </w:p>
    <w:p>
      <w:r>
        <w:t>été suspendu du 18 décembre 2025 au 2 janvier 2026 " ( art. 46 al. 2 let. a LTF , qui exclut la suspension des délais prévue à l' art. 46 al. 1 let . c LTF; par exemple: arrêt 5A_29/2017 du 17 janvier 2017 consid. 3).</w:t>
      </w:r>
    </w:p>
    <w:p>
      <w:r>
        <w:t>En l'espèce, la décision entreprise a été communiquée à la recourante le</w:t>
      </w:r>
    </w:p>
    <w:p>
      <w:r>
        <w:t>20 décembre 2025 , de sorte que le délai de recours (de 30 jours) a commencé à courir dès le lendemain ( art. 44 al. 1 LTF ) - même si ce jour était un dimanche (</w:t>
      </w:r>
    </w:p>
    <w:p>
      <w:r>
        <w:t>cf . FRÉSARD,</w:t>
      </w:r>
    </w:p>
    <w:p>
      <w:r>
        <w:t>in : Commentaire de la LTF, 3e éd., 2022, n° 8 ad art. 44 LTF ) - pour expirer le</w:t>
      </w:r>
    </w:p>
    <w:p>
      <w:r>
        <w:t>19 janvier 2026 . Déposé le</w:t>
      </w:r>
    </w:p>
    <w:p>
      <w:r>
        <w:t>2 février 2026 , le recours est ainsi tardif, partant irrecevable.</w:t>
      </w:r>
    </w:p>
    <w:p>
      <w:r>
        <w:rPr>
          <w:b/>
        </w:rPr>
        <w:t>E. 4</w:t>
      </w:r>
    </w:p>
    <w:p>
      <w:r>
        <w:t>En conclusion, le présent recours doit être déclaré irrecevable par voie de procédure simplifiée ( art. 108 al. 1 let. a LTF ). La recourante n'a pas expressément requis l'octroi de l'assistance judiciaire pour la procédure fédérale (</w:t>
      </w:r>
    </w:p>
    <w:p>
      <w:r>
        <w:t>cf . sur cette exigence: arrêts 8C_335/2024 du 28 août 2024; 5A_380/2024 du 31 juillet 2024); quoi qu'il en soit, une telle requête eût été rejetée vu l'irrecevabilité du procédé ( art. 64 al. 1 LTF ). Cela étant, les frais judiciaires incombent à l'intéressée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