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100/2017 vom 6. Februar 2017</w:t>
      </w:r>
    </w:p>
    <w:p>
      <w:r>
        <w:t>Bundesgericht, 2017-02-06, DE</w:t>
      </w:r>
    </w:p>
    <w:p>
      <w:r>
        <w:rPr>
          <w:b/>
        </w:rPr>
        <w:t xml:space="preserve">Quelle: </w:t>
      </w:r>
      <w:r>
        <w:t>https://mcp.opencaselaw.ch/entscheid/bger_5A_100_2017</w:t>
      </w:r>
    </w:p>
    <w:p>
      <w:r>
        <w:t>FR: TF 5A 100/2017 du 6 février 2017</w:t>
      </w:r>
    </w:p>
    <w:p>
      <w:r>
        <w:t>IT: TF 5A 100/2017 del 6 febbraio 2017</w:t>
      </w:r>
    </w:p>
    <w:p>
      <w:pPr>
        <w:pStyle w:val="Heading2"/>
      </w:pPr>
      <w:r>
        <w:t>Regeste</w:t>
      </w:r>
    </w:p>
    <w:p>
      <w:r>
        <w:t>Anordnung einer Vertretungsbeistandschaft | Familienrecht</w:t>
      </w:r>
    </w:p>
    <w:p>
      <w:pPr>
        <w:pStyle w:val="Heading2"/>
      </w:pPr>
      <w:r>
        <w:t>Erwägungen</w:t>
      </w:r>
    </w:p>
    <w:p>
      <w:r>
        <w:rPr>
          <w:b/>
        </w:rPr>
        <w:t>E. 1.1</w:t>
      </w:r>
    </w:p>
    <w:p>
      <w:r>
        <w:t>Mit Entscheid vom 25. Oktober 2016 errichtete die Kindes- und Erwachsenenschutzbehörde Luzern (KESB) für A.________ eine Vertretungsbeistandschaft nach Art. 394 ZGB für drei Rechtsmittelverfahren, insbes. das Berufungsverfahren xxx, und entzog ihm die Handlungsfähigkeit für diese Verfahren. Weiter ernannte sie ihm Rechtsanwalt B.________ als Beistand und regelte die Modalitäten der Beistandschaft. Die von A.________ gegen die Errichtung der Beistandschaft erhobene Beschwerde wies das Kantonsgericht des Kantons Luzern am 24. Januar 2017 ab. A.________ (Beschwerdeführer) hat am 1. Februar 2017 (Postaufgabe) gegen den kantonsgerichtlichen Entscheid beim Bundesgericht Beschwerde erhoben. Er ersucht um unentgeltliche Rechtspflege für das bundesgerichtliche Verfahren. Am 5. Februar 2017 hat der Beschwerdeführer seine ursprüngliche Eingabe ergänzt.</w:t>
      </w:r>
    </w:p>
    <w:p>
      <w:r>
        <w:rPr>
          <w:b/>
        </w:rPr>
        <w:t>E. 2.1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2.2</w:t>
      </w:r>
    </w:p>
    <w:p>
      <w:r>
        <w:t>Das Kantonsgericht hat erwogen, der Beschwerdeführer habe den Schwächezustand und den sich daraus ergebenden Schutzbedarf nicht bestritten. Eine gewillkürte Rechtsvertretung erweise sich aufgrund der Aktenlage als ungenügend. Der Beschwerdeführer könne angesichts des Schwächezustandes und der sich daraus ergebenden hartnäckigen Interessenverfolgung seine Rechte nicht genügend wahrnehmen. Er sei nicht in der Lage, seine Rechte und Pflichten realistisch einzuschätzen, sodass er sein Vermögen zu schädigen und Prozesse zu verschleppen drohe. Die Errichtung der Vertretungsbeistandschaft sei daher in seinem wohlverstandenen Interesse.</w:t>
      </w:r>
    </w:p>
    <w:p>
      <w:r>
        <w:rPr>
          <w:b/>
        </w:rPr>
        <w:t>E. 2.3</w:t>
      </w:r>
    </w:p>
    <w:p>
      <w:r>
        <w:t>Der Beschwerdeführer zeigt in seinen Ausführungen nicht anhand der Erwägungen des angefochtenen Entscheides auf, inwiefern die Vorinstanz den Sachverhalt willkürlich oder sonst wie gegen Bundesrecht verstossend festgestellt bzw. Bundesrecht oder seine verfassungsmässigen Rechte verletzt haben soll. Er beschränkt sich vielmehr auf eine allgemeine, nicht sachbezogene Kritik am angefochtenen Entscheid und legt seinen Darlegungen eine eigene Sicht der tatsächlichen Gegebenheiten zugrunde. Mit dieser rein appellatorischen Kritik vermag er den Begründungsanforderungen nicht zu genügen.</w:t>
      </w:r>
    </w:p>
    <w:p>
      <w:r>
        <w:rPr>
          <w:b/>
        </w:rPr>
        <w:t>E. 3</w:t>
      </w:r>
    </w:p>
    <w:p>
      <w:r>
        <w:t>Auf die offensichtlich nicht hinreichend begründete Beschwerde ist somit im vereinfachten Verfahren durch den Präsidenten der Abteilung (Art. 108 Abs. 1 bzw. Art. 108 Abs. 1 lit. b BGG ) nicht einzutreten. Aufgrund der besonderen Umstände ist auf die Erhebung von Kosten zu verzichten ( Art. 66 Abs. 1 BGG ). Damit wird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