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5A_1007/2017 vom 6. April 2018</w:t>
      </w:r>
    </w:p>
    <w:p>
      <w:r>
        <w:t>Bundesgericht, 2018-04-06, FR</w:t>
      </w:r>
    </w:p>
    <w:p>
      <w:r>
        <w:rPr>
          <w:b/>
        </w:rPr>
        <w:t xml:space="preserve">Quelle: </w:t>
      </w:r>
      <w:r>
        <w:t>https://mcp.opencaselaw.ch/entscheid/bger_5A_1007_2017</w:t>
      </w:r>
    </w:p>
    <w:p>
      <w:r>
        <w:t>FR: TF 5A_1007/2017 du 6 avril 2018</w:t>
      </w:r>
    </w:p>
    <w:p>
      <w:r>
        <w:t>IT: TF 5A_1007/2017 del 6 aprile 2018</w:t>
      </w:r>
    </w:p>
    <w:p>
      <w:pPr>
        <w:pStyle w:val="Heading2"/>
      </w:pPr>
      <w:r>
        <w:t>Erwägungen</w:t>
      </w:r>
    </w:p>
    <w:p>
      <w:r>
        <w:rPr>
          <w:b/>
        </w:rPr>
        <w:t>E. 1.1</w:t>
      </w:r>
    </w:p>
    <w:p>
      <w:r>
        <w:t>La recevabilité du recours portant sur une question accessoire, en l'espèce l'allocation des dépens, est définie par la cause au fond, dans la mesure où aucune procédure spéciale n'est prévue ( ATF 138 III 94 consid. 2.2). L'arrêt entrepris ayant été rendu dans une cause sujette au recours en matière civile (art. 72 al. 2 let. b ch. 1 LTF), le présent recours est recevable de ce chef.</w:t>
      </w:r>
    </w:p>
    <w:p>
      <w:r>
        <w:rPr>
          <w:b/>
        </w:rPr>
        <w:t>E. 1.2</w:t>
      </w:r>
    </w:p>
    <w:p>
      <w:r>
        <w:t>Le recours a été déposé en temps utile ( art. 100 al. 1 LTF ) contre une décision finale ( art. 90 LTF ) rendue par le tribunal supérieur d'un canton statuant sur recours ( art. 75 al. 1 et 2 LTF ); la valeur litigieuse est atteinte ( art. 74 al. 1 let. b LTF ); la recourante, qui a succombé en instance cantonale et a un intérêt digne de protection à la modification de la décision attaquée, a qualité pour recourir ( art. 76 al. 1 LTF ).</w:t>
      </w:r>
    </w:p>
    <w:p>
      <w:r>
        <w:rPr>
          <w:b/>
        </w:rPr>
        <w:t>E. 2.1</w:t>
      </w:r>
    </w:p>
    <w:p>
      <w:r>
        <w:t>En l'espèce, l'autorité cantonale a constaté que, compte tenu de la valeur litigieuse admise par les parties (</w:t>
      </w:r>
    </w:p>
    <w:p>
      <w:r>
        <w:t>i.e. 532'994'000 fr. au cours du 22 décembre 2015), le défraiement, calculé uniquement en fonction de cette valeur, s'élève à</w:t>
      </w:r>
    </w:p>
    <w:p>
      <w:r>
        <w:t>2'721'370 fr. en vertu de l'art. 85 du Règlement genevois du 22 décembre 2010 fixant le tarif des frais en matière civile (</w:t>
      </w:r>
    </w:p>
    <w:p>
      <w:r>
        <w:t>RTFMC ; E 1 05.10); réduit à 1/5 conformément à l'art. 88 RTFMC, vu l'application de la procédure sommaire, il se monte à</w:t>
      </w:r>
    </w:p>
    <w:p>
      <w:r>
        <w:t>544'274 fr. , ce qui correspond à 1'200 heures de travail d'avocat à 450 fr. de l'heure. Une telle indemnité est toutefois manifestement trop élevée par rapport au travail effectif de l'avocat du mari et doit être réduite.</w:t>
      </w:r>
    </w:p>
    <w:p>
      <w:r>
        <w:t>Pour opérer cette réduction, la juridiction précédente a pris en compte la complexité de la cause, puisque les requêtes d'exequatur tendaient au blocage des avoirs de plusieurs sociétés d'un groupe pétrolier, dont elles pouvaient paralyser l'activité; en outre, le caractère international de l'affaire exigeait des recherches en droit étranger. La responsabilité incombant aux avocats du mari était dès lors importante et impliquait un travail de vérification et de réflexion conséquent à effectuer lors de l'élaboration de la stratégie à adopter, de la rédaction des écritures en première instance et de la préparation des pièces à produire. Or, force est d'admettre que le montant de 10'000 fr. alloué par le premier juge ne tient pas suffisamment compte de ces éléments. On ne saurait pour autant retenir le nombre de "</w:t>
      </w:r>
    </w:p>
    <w:p>
      <w:r>
        <w:t>770 heures de travail " allégué par le mari, car il est clairement trop élevé par rapport aux démarches nécessitées par la présente cause, c'est-à-dire la rédaction de six écritures variant entre 5 et 40 pages, accompagnées d'environ 130 pièces, ainsi que la participation à trois courtes audiences, sur des aspects de procédure et de frais et dépens.</w:t>
      </w:r>
    </w:p>
    <w:p>
      <w:r>
        <w:t>En définitive, les magistrats cantonaux ont considéré qu'un montant de</w:t>
      </w:r>
    </w:p>
    <w:p>
      <w:r>
        <w:t>48'000 fr. , équivalant à un peu plus de 100 heures de travail d'avocat à 450 fr. de l'heure, apparaît approprié. Les dépens dus au mari pour la procédure de première instance doivent être ainsi fixés à</w:t>
      </w:r>
    </w:p>
    <w:p>
      <w:r>
        <w:t>50'000 fr. , après majoration de 3 % pour les débours (art. 25 de la Loi genevoise d'application du Code civil suisse et d'autres lois fédérales en matière civile du 11 octobre 2011 [</w:t>
      </w:r>
    </w:p>
    <w:p>
      <w:r>
        <w:t>LaCC ]; E 1 05).</w:t>
      </w:r>
    </w:p>
    <w:p>
      <w:r>
        <w:rPr>
          <w:b/>
        </w:rPr>
        <w:t>E. 2.2.1</w:t>
      </w:r>
    </w:p>
    <w:p>
      <w:r>
        <w:t>L' art. 95 al. 3 let. b CPC prévoit que les dépens comprennent le défraiement du représentant professionnel. Si le droit à une indemnité pour les frais d'avocat découle du droit fédéral, l' art. 96 CPC précise que les cantons fixent le tarif des frais, le législateur ayant renoncé à une réglementation fédérale unifiée en la matière (arrêt 4C_1/2011 du 3 mai 2011 consid. 5,</w:t>
      </w:r>
    </w:p>
    <w:p>
      <w:r>
        <w:t>in : Pra 2011 n° 88). Sous réserve d'hypothèses non pertinentes en l'espèce ( art. 95 let . c àe LTF), la violation du droit cantonal ne fonde pas un moyen de recours, mais la partie recourante peut faire valoir que l'application de ce droit enfreint l' art. 9 Cst. ou un autre droit constitutionnel ( ATF 141 I 105 consid. 3.3.1).</w:t>
      </w:r>
    </w:p>
    <w:p>
      <w:r>
        <w:t>Vu ce qui précède, le moyen pris d'une "</w:t>
      </w:r>
    </w:p>
    <w:p>
      <w:r>
        <w:t>violation du droit fédéral sous l'angle de l' art. 8 CC " s'avère d'emblée irrecevable, cette norme n'étant pas d'ordre constitutionnel. Au demeurant, l'argument de la recourante, selon lequel les juges précédents n'auraient pas dû allouer de dépens à sa partie adverse faute de note de frais et d'honoraires ou d'indication circonstanciée sur le temps consacré à l'affaire, apparaît pour le moins audacieux. L'intéressée ne conteste pas que l'intimé a eu recours aux services d'avocats, ni que ceux-ci ont déployé les activités décrites par l'autorité cantonale ( art. 106 al. 2 LTF ;</w:t>
      </w:r>
    </w:p>
    <w:p>
      <w:r>
        <w:t>cf .</w:t>
      </w:r>
    </w:p>
    <w:p>
      <w:r>
        <w:t>supra , consid. 2.1). Quant à son principe, l'allocation de dépens n'est donc pas douteuse. Autre est la question de savoir si l'estimation du temps consacré à l'affaire résiste au grief d'arbitraire (</w:t>
      </w:r>
    </w:p>
    <w:p>
      <w:r>
        <w:t>cf .</w:t>
      </w:r>
    </w:p>
    <w:p>
      <w:r>
        <w:t>infra , consid. 2.2.2).</w:t>
      </w:r>
    </w:p>
    <w:p>
      <w:r>
        <w:rPr>
          <w:b/>
        </w:rPr>
        <w:t>E. 2.2.2</w:t>
      </w:r>
    </w:p>
    <w:p>
      <w:r>
        <w:t>Avec la recourante, on peut certes contester les prémisses de la juridiction précédente, qui table sur une valeur litigieuse (convertie) de 532'994'000 fr., représentant le "</w:t>
      </w:r>
    </w:p>
    <w:p>
      <w:r>
        <w:t>montant alloué [à l'épouse]</w:t>
      </w:r>
    </w:p>
    <w:p>
      <w:r>
        <w:t>à teneur du jugement de première instance rendu par le tribunal texan dans le cadre de la liquidation du régime matrimonial ". Indépendamment d'un prétendu "</w:t>
      </w:r>
    </w:p>
    <w:p>
      <w:r>
        <w:t>accord " des parties ( art. 91 al. 2 CPC ) - que nie d'ailleurs la recourante -, il ne résulte pas de la décision entreprise que le blocage des avoirs de l'intimé et de diverses sociétés, consécutif à l'exequatur, viserait à garantir les prétentions allouées par le juge texan du chef de la "</w:t>
      </w:r>
    </w:p>
    <w:p>
      <w:r>
        <w:t>liquidation</w:t>
      </w:r>
    </w:p>
    <w:p>
      <w:r>
        <w:t>du</w:t>
      </w:r>
    </w:p>
    <w:p>
      <w:r>
        <w:t>régime</w:t>
      </w:r>
    </w:p>
    <w:p>
      <w:r>
        <w:t>matrimonial ", ce qui pourrait justifier la valeur litigieuse admise par la cour cantonale (</w:t>
      </w:r>
    </w:p>
    <w:p>
      <w:r>
        <w:t>cf ., par analogie, en matière de séquestre: ATF 139 III 195 consid. 4.3.2; arrêt 5A_28/2013 du 15 avril 2013 consid. 2.4.1 et les références citées dans ces arrêts). Quoi qu'il en soit, le résultat de l'arrêt déféré échappe à la critique.</w:t>
      </w:r>
    </w:p>
    <w:p>
      <w:r>
        <w:t>La juridiction précédente a considéré que la tarification des dépens en fonction de la valeur litigieuse (art. 85 RTFMC/GE) et de l'application de la procédure sommaire au litige (art. 88 RTFMC/GE) aboutissait à un montant clairement trop élevé "</w:t>
      </w:r>
    </w:p>
    <w:p>
      <w:r>
        <w:t>par rapport au travail effectif de l'avocat [de l'époux]", puisqu'il correspondait à "</w:t>
      </w:r>
    </w:p>
    <w:p>
      <w:r>
        <w:t>1'200 heures environ de travail d'avocat à 450 fr. de l'heure ", en sorte qu'il devait être réduit. Une telle approche est conforme à la jurisprudence: si la valeur litigieuse est un critère à prendre en compte dans la fixation des dépens, elle ne saurait pour autant reléguer à l'arrière-plan le facteur lié à l'activité déployée par l'homme de loi, dont le défraiement doit demeurer dans un rapport raisonnable avec la prestation fournie (arrêt 5A_171/2014 du 14 juillet 2014 consid. 2.3.2 et les arrêts cités).</w:t>
      </w:r>
    </w:p>
    <w:p>
      <w:r>
        <w:t>Or, en l'espèce, la recourante ne démontre pas en quoi la juridiction cantonale aurait méconnu le large pouvoir d'appréciation dont elle jouit dans ce domaine (</w:t>
      </w:r>
    </w:p>
    <w:p>
      <w:r>
        <w:t>cf . ATF 111 V 48 consid. 4a) en fixant à une centaine d'heures le travail accompli par les avocats de l'intimé; elle se contente d'exposer sa propre appréciation de l'ampleur de ladite activité, sans réfuter plus avant les autres éléments pris en compte par les magistrats précédents qui influent sur cette estimation (complexité de l'affaire, etc.;</w:t>
      </w:r>
    </w:p>
    <w:p>
      <w:r>
        <w:t>cf .</w:t>
      </w:r>
    </w:p>
    <w:p>
      <w:r>
        <w:t>supra , consid. 2.1). Appellatoire, le grief est irrecevable ( ATF 142 III 364 consid. 2.4; 140 III 264 consid. 2.3, avec les arrêts cités). Enfin, la recourante ne critique de façon motivée ( art. 106 al. 2 LTF ; ATF 134 II 244 consid. 2.2) ni le tarif horaire (450 fr./h.) ni la majoration pour les débours (3%) retenus par la cour cantonale.</w:t>
      </w:r>
    </w:p>
    <w:p>
      <w:r>
        <w:rPr>
          <w:b/>
        </w:rPr>
        <w:t>E. 3</w:t>
      </w:r>
    </w:p>
    <w:p>
      <w:r>
        <w:t>En conclusion, le présent recours doit être rejeté dans la mesure de sa recevabilité, aux frais de la recourante ( art. 66 al. 1 LTF ). Il n'y a pas lieu d'accorder des dépens à l'intimé, qui n'a pas été invité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