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1007/2015 vom 26. Februar 2016</w:t>
      </w:r>
    </w:p>
    <w:p>
      <w:r>
        <w:t>Bundesgericht, 2016-02-26, FR</w:t>
      </w:r>
    </w:p>
    <w:p>
      <w:r>
        <w:rPr>
          <w:b/>
        </w:rPr>
        <w:t xml:space="preserve">Quelle: </w:t>
      </w:r>
      <w:r>
        <w:t>https://mcp.opencaselaw.ch/entscheid/bger_5A_1007_2015</w:t>
      </w:r>
    </w:p>
    <w:p>
      <w:r>
        <w:t>FR: TF 5A 1007/2015 du 26 février 2016</w:t>
      </w:r>
    </w:p>
    <w:p>
      <w:r>
        <w:t>IT: TF 5A 1007/2015 del 26 febbraio 2016</w:t>
      </w:r>
    </w:p>
    <w:p>
      <w:pPr>
        <w:pStyle w:val="Heading2"/>
      </w:pPr>
      <w:r>
        <w:t>Regeste</w:t>
      </w:r>
    </w:p>
    <w:p>
      <w:r>
        <w:t>curatelle de représentation et de gestion | Droit de la famille</w:t>
      </w:r>
    </w:p>
    <w:p>
      <w:pPr>
        <w:pStyle w:val="Heading2"/>
      </w:pPr>
      <w:r>
        <w:t>Erwägungen</w:t>
      </w:r>
    </w:p>
    <w:p>
      <w:r>
        <w:rPr>
          <w:b/>
        </w:rPr>
        <w:t>E. 1</w:t>
      </w:r>
    </w:p>
    <w:p>
      <w:r>
        <w:t>Déposé dans le délai légal ( art. 100 al. 1 LTF ) à l'encontre d'une décision finale ( art. 90 LTF ) rendue par un tribunal supérieur ayant statué sur recours en dernière instance cantonale ( art. 75 al. 1 et 2 LTF ) dans une affaire non pécuniaire relevant du domaine de la protection de l'adulte (art. 72 al. 2 let. b ch. 6 LTF), le recours en matière civile est en principe recevable au regard de ces dispositions.</w:t>
      </w:r>
    </w:p>
    <w:p>
      <w:r>
        <w:rPr>
          <w:b/>
        </w:rPr>
        <w:t>E. 2</w:t>
      </w:r>
    </w:p>
    <w:p>
      <w:r>
        <w:t>Le recours en matière civile peut être formé pour violation du droit fédéral ( art. 95 let. a LTF ), notion qui englobe les droits constitutionnels ( ATF 136 I 241 consid. 2.1 p. 247; 136 II 304 consid. 2.4 p. 313). En ce qui concerne la violation des droits fondamentaux et, de manière générale, des droits constitutionnels ( ATF 133 III 638 consid. 2 p. 639 s.), ainsi que du droit cantonal, le Tribunal fédéral n'en connaît que si le grief a été expressément soulevé et motivé de façon claire et détaillée par le recourant, en indiquant précisément quelle disposition constitutionnelle ou légale a été violée et en démontrant, par une argumentation précise, en quoi consiste la violation ("principe d'allégation", art. 106 al. 2 LTF ; ATF 137 II 305 consid. 3.3 p. 310 s.; 135 III 232 consid. 1.2 p. 234).</w:t>
      </w:r>
    </w:p>
    <w:p>
      <w:r>
        <w:rPr>
          <w:b/>
        </w:rPr>
        <w:t>E. 3</w:t>
      </w:r>
    </w:p>
    <w:p>
      <w:r>
        <w:t>Dans un premier grief, la recourante se plaint d'une violation de son droit d'être entendue ( art. 29 al. 2 Cst. ), au motif que la cour cantonale a fondé sa décision sur le contenu du certificat médical du Dr G.________, sur lequel elle n'a pas été invitée à se prononcer, puisqu'il ne lui a pas été communiqué.</w:t>
      </w:r>
    </w:p>
    <w:p>
      <w:r>
        <w:rPr>
          <w:b/>
        </w:rPr>
        <w:t>E. 3.1</w:t>
      </w:r>
    </w:p>
    <w:p>
      <w:r>
        <w:t>Le droit d'être entendu est un grief de nature formelle, dont la violation entraîne l'annulation de la décision attaquée indépendamment des chances de succès du recours sur le fond ( ATF 127 V 431 consid. 3d/aa p. 437). Compris comme l'un des aspects de la notion générale de procès équitable au sens des art. 29 Cst. et 6 CEDH,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(parmi plusieurs: ATF 138 I 484 consid. 2.1 p. 485 s.; 137 I 195 consid. 2.3.1 p. 197; 133 I 100 consid. 4.3 p. 102 s. et les références aux arrêts de la CourEDH). En l'occurrence, il ne ressort pas du dossier que la cour cantonale ait communiqué à la recourante le certificat médical du Dr G.________ du 13 octobre 2015, sur lequel elle s'est pourtant également fondée pour confirmer la mesure de curatelle ordonnée par le Tribunal de protection. La recourante a ainsi a priori pris connaissance du contenu de cette pièce avec l'arrêt au fond, en sorte qu'elle n'a pas eu l'opportunité de se déterminer sur celle-ci. La procédure suivie par la cour cantonale l'a donc privée de la faculté d'exercer son droit d'être entendue. En particulier, en ce qui concerne les arguments développés par le Tribunal de protection dans sa réponse au recours, il faut souligner que le simple fait d'avoir indiqué que la cause sera " gardée à juger " après réception d'un certificat médical, établi après que la recourante aura délié le médecin de son secret médical, est d'emblée insuffisant; cette indication crée en effet des incertitudes incompatibles avec le respect du droit de la recourante de s'exprimer sur les pièces versées au dossier (incertitudes quant aux dates d'établissement du certificat médical, de sa transmission à la cour cantonale et de la décision prise par celle-ci); dans un tel contexte, on ne saurait dès lors lui reprocher son inactivité.</w:t>
      </w:r>
    </w:p>
    <w:p>
      <w:r>
        <w:rPr>
          <w:b/>
        </w:rPr>
        <w:t>E. 3.2</w:t>
      </w:r>
    </w:p>
    <w:p>
      <w:r>
        <w:t>Le Tribunal de céans peut - exceptionnellement - réparer une violation du droit d'être entendu s'il dispose d'un libre pouvoir de cognition, autrement dit lorsque seules des questions de droit demeurent litigieuses ( ATF 133 I 201 consid. 2.2 p. 204; arrêt 5A_503/2010 du 28 mars 2011 consid. 2.4), et qu'il n'en résulte aucun préjudice pour le justiciable ( ATF 136 III 174 consid. 5.1.2 p. 177 a contrario). En l'occurrence, la Cour de céans ne peut valablement réparer la violation du droit d'être entendu de la recourante, le certificat médical du Dr G.________ portant sur des questions de fait à l'égard desquels le Tribunal fédéral ne dispose pas d'un libre pouvoir de cognition. Ces considérations scellent le sort du recours sans qu'il n'y ait lieu d'examiner le grief de violation de l' art. 449b CC soulevé par la recourante.</w:t>
      </w:r>
    </w:p>
    <w:p>
      <w:r>
        <w:rPr>
          <w:b/>
        </w:rPr>
        <w:t>E. 4</w:t>
      </w:r>
    </w:p>
    <w:p>
      <w:r>
        <w:t>Vu ce qui précède, le recours doit être admis, la décision attaquée annulée et la cause renvoyée à l'autorité précédente pour nouvelle décision. Cela étant, il est statué sans frais ( art. 66 al. 1 LTF ). L'Etat de Genève participera aux dépens de la recourante, qui était assistée d'un mandataire professionnel ( art. 68 al. 1 et 2 LTF ), étant précisé que l'indemnité due à ce titre devra être versée directement en mains de son avocate. La requête d'assistance judiciaire présentée par la recourante pour la procédure devant le Tribunal fédéral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