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5A_1006/2014 vom 6. März 2015</w:t>
      </w:r>
    </w:p>
    <w:p>
      <w:r>
        <w:t>Bundesgericht, 2015-03-06, DE</w:t>
      </w:r>
    </w:p>
    <w:p>
      <w:r>
        <w:rPr>
          <w:b/>
        </w:rPr>
        <w:t xml:space="preserve">Quelle: </w:t>
      </w:r>
      <w:r>
        <w:t>https://mcp.opencaselaw.ch/entscheid/bger_5A_1006_2014</w:t>
      </w:r>
    </w:p>
    <w:p>
      <w:r>
        <w:t>FR: TF 5A_1006/2014 du 6 mars 2015</w:t>
      </w:r>
    </w:p>
    <w:p>
      <w:r>
        <w:t>IT: TF 5A_1006/2014 del 6 marzo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Arresteinspracheentscheid mit Fr. 30'000.-- übersteigendem Streitwert; die Beschwerde in Zivilsachen ist somit gegeben ( Art. 72 Abs. 2 lit. a, Art. 74 Abs. 1 lit. b, Art. 75 Abs. 1 und Art. 90 BGG ). Arresteinspracheentscheide sind Entscheide über vorsorgliche Massnahmen im Sinne von Art. 98 BGG ; demnach kann nur die Verletzung verfassungsmässiger Rechte gerügt werden ( BGE 135 III 232 E. 1.2 S. 234). Hierfür gilt im Übrigen das strenge Rügeprinzip gemäss Art. 106 Abs. 2 BGG . Das Bundesgericht prüft in diesem Bereich nur klar und detailliert erhobene und, soweit möglich, belegte Rügen; auf ungenügend begründete Rügen und rein appellatorische Kritik am angefochtenen Entscheid tritt es nicht ein ( BGE 134 II 244 E. 2.2 S. 246).</w:t>
      </w:r>
    </w:p>
    <w:p>
      <w:r>
        <w:rPr>
          <w:b/>
        </w:rPr>
        <w:t>E. 2</w:t>
      </w:r>
    </w:p>
    <w:p>
      <w:r>
        <w:t>Die Beschwerdeführerin rügt keine Verletzung verfassungsmässiger Rechte, sondern macht in appellatorischer Weise eine Bundesrechtsverletzung geltend, indem sie eine Verletzung von Art. 80 und 271 SchKG behauptet (Beschwerde S. 3 unten sowie S. 8 oben). Mangels tauglicher Rügen kann auf die Beschwerde nicht eingetreten werden.</w:t>
      </w:r>
    </w:p>
    <w:p>
      <w:r>
        <w:rPr>
          <w:b/>
        </w:rPr>
        <w:t>E. 3</w:t>
      </w:r>
    </w:p>
    <w:p>
      <w:r>
        <w:t>Bei diesem Verfahrensausgang sind die Gerichtskosten der Beschwerdeführerin aufzuerlegen ( Art. 66 Abs. 1 BGG ). Der Gegenpartei ist kein entschädigungspflichtiger Aufwand entstanden.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