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1004/2019 vom 22. September 2020</w:t>
      </w:r>
    </w:p>
    <w:p>
      <w:r>
        <w:t>Bundesgericht, 2020-09-22, DE</w:t>
      </w:r>
    </w:p>
    <w:p>
      <w:r>
        <w:rPr>
          <w:b/>
        </w:rPr>
        <w:t xml:space="preserve">Quelle: </w:t>
      </w:r>
      <w:r>
        <w:t>https://mcp.opencaselaw.ch/entscheid/bger_5A_1004_2019</w:t>
      </w:r>
    </w:p>
    <w:p>
      <w:r>
        <w:t>FR: TF 5A 1004/2019 du 22 septembre 2020</w:t>
      </w:r>
    </w:p>
    <w:p>
      <w:r>
        <w:t>IT: TF 5A 1004/2019 del 22 settembre 2020</w:t>
      </w:r>
    </w:p>
    <w:p>
      <w:pPr>
        <w:pStyle w:val="Heading2"/>
      </w:pPr>
      <w:r>
        <w:t>Regeste</w:t>
      </w:r>
    </w:p>
    <w:p>
      <w:r>
        <w:t>Eigentumsherausgabe; Rechtsschutz in klaren Fällen | Sachenrecht</w:t>
      </w:r>
    </w:p>
    <w:p>
      <w:pPr>
        <w:pStyle w:val="Heading2"/>
      </w:pPr>
      <w:r>
        <w:t>Erwägungen</w:t>
      </w:r>
    </w:p>
    <w:p>
      <w:r>
        <w:rPr>
          <w:b/>
        </w:rPr>
        <w:t>E. 1.1</w:t>
      </w:r>
    </w:p>
    <w:p>
      <w:r>
        <w:t>Die Beschwerde richtet sich gegen den Endentscheid ( Art. 90 BGG ) eines oberen kantonalen Gerichts, das in einer Zivilsache ( Art. 72 Abs. 1 BGG ) als Rechtsmittelinstanz entschieden hat ( Art. 75 BGG ) und auf eine Klage der Beschwerdeführerin im Verfahren um Rechtsschutz in klaren Fällen ( Art. 257 ZPO ) nicht eingetreten ist ( Art. 76 Abs. 1 BGG ). Der Streitwert übersteigt Fr. 30'000.-- ( Art. 74 Abs. 1 lit. b BGG ), und die Beschwerde wurde innert der Beschwerdefrist ( Art. 100 Abs. 1 BGG ) eingereicht. Grundsätzlich steht die Beschwerde in Zivilsachen offen.</w:t>
      </w:r>
    </w:p>
    <w:p>
      <w:r>
        <w:rPr>
          <w:b/>
        </w:rPr>
        <w:t>E. 1.2</w:t>
      </w:r>
    </w:p>
    <w:p>
      <w:r>
        <w:t>Ob das kassatorische Rechtsbegehren der Beschwerdeführerin vorliegend ausnahmsweise den Anforderungen des Bundesgerichtsgesetzes zu genügen vermag (vgl. Art. 42 Abs. 1 und Art. 107 Abs. 2 BGG ; BGE 134 III 379 E. 1.3 S. 383; 133 III 489 E. 3.1 S. 489 f. mit weiteren Hinweisen), kann mit Blick auf den Verfahrensausgang offen gelassen werden.</w:t>
      </w:r>
    </w:p>
    <w:p>
      <w:r>
        <w:rPr>
          <w:b/>
        </w:rPr>
        <w:t>E. 2.1</w:t>
      </w:r>
    </w:p>
    <w:p>
      <w:r>
        <w:t>Entscheide, die der Beschwerde an das Bundesgericht unterliegen, müssen einer Reihe von Minimalanforderungen genügen (vgl. Art. 112 BGG ). So sind die Vorbringen der Parteien zu nennen, nämlich ihre Begehren, Begründungen, Beweisvorbringen und Prozesserklärungen ( Art. 112 Abs. 1 lit. a BGG ). Alsdann hat die Vorinstanz klar festzuhalten, von welchem Sachverhalt sie ausgegangen ist und welche rechtlichen Überlegungen sie angestellt hat. Insbesondere sind die angewendeten Gesetzesbestimmungen zu nennen ( Art. 112 Abs. 1 lit. b BGG ). Genügt ein Entscheid diesen Anforderungen nicht, so kann das Bundesgericht ihn an die Vorinstanz zur Verbesserung zurückweisen oder aufheben ( Art. 112 Abs. 3 BGG ). Hingegen steht es ihm nicht zu, sich an die Stelle der Vorinstanz zu setzen, die ihrer Aufgabe nicht nachgekommen ist. Das Bundesgericht prüft die verfahrensrechtlichen Folgen von Art. 112 Abs. 3 BGG von Amtes wegen. Es wird somit unabhängig von einem Antrag einer Prozesspartei tätig, denn nur so kann es seine Aufgabe wahrnehmen ( BGE 141 IV 244 E. 1.2.1 S. 246; Urteil 5A_222/2019 vom 28. April 2020 E. 4.1 mit Hinweisen).</w:t>
      </w:r>
    </w:p>
    <w:p>
      <w:r>
        <w:rPr>
          <w:b/>
        </w:rPr>
        <w:t>E. 2.2.1</w:t>
      </w:r>
    </w:p>
    <w:p>
      <w:r>
        <w:t>In der vorliegenden Angelegenheit beanstandet die Beschwerdeführerin in prozessualer Hinsicht, dass das erstinstanzliche Urteil mangels Bezeichnung der mitwirkenden Gerichtsschreiberin oder des mitwirkenden Gerichtsschreibers den Anforderungen nach Art. 238 lit. a und lit. h ZPO und Art. 5 Abs. 1 des Gesetzes des Kantons Nidwalden vom 9. Juni 2010 über die Gerichte und Justizbehörden (NR 261.1; nachfolgend: GerG) nicht genüge. Art. 238 ZPO legt fest, dass ein Entscheid unter anderem die Bezeichnung und die Zusammensetzung (lit. a) sowie die Unterschrift des Gerichts (lit. h) enthalten muss. Gemäss Art. 5 Abs. 1 GerG wirken Gerichtsschreiberinnen und Gerichtsschreiber bei der Instruktion der Fälle und bei der Entscheidfindung mit; sie haben beratende Stimme. Darüber hinaus rügt die Beschwerdeführerin vor Bundesgericht infolge fehlerhafter Gerichtsbesetzung zusätzlich die Verletzung von Art. 30 Abs. 1 BV und Art. 6 EMRK .</w:t>
      </w:r>
    </w:p>
    <w:p>
      <w:r>
        <w:rPr>
          <w:b/>
        </w:rPr>
        <w:t>E. 2.2.2</w:t>
      </w:r>
    </w:p>
    <w:p>
      <w:r>
        <w:t>Das Obergericht erwog im angefochtenen Entscheid, die Beschwerdeführerin hätte sich zur Prüfung bzw. Geltendmachung von Ausstandsgründen an die urteilende Instanz, also das Kantonsgericht, wenden müssen. Im Weiteren würde eine Rückweisung an die Erstinstanz wegen einer fehlenden Unterschrift der Gerichtsschreiberperson überspitzten Formalismus darstellen, da es sich hierbei um einen offensichtlichen Fehler handle bzw. die Unterzeichnung durch die Gerichtsschreiberperson offensichtlich vergessen ging.</w:t>
      </w:r>
    </w:p>
    <w:p>
      <w:r>
        <w:rPr>
          <w:b/>
        </w:rPr>
        <w:t>E. 2.2.3</w:t>
      </w:r>
    </w:p>
    <w:p>
      <w:r>
        <w:t>Demgegenüber erklärte das Kantonsgericht vor Bundesgericht, die Bezeichnung und Unterschrift einer Gerichtsschreiberperson fehle im besagten Entscheid, da gar keine Gerichtsschreiberin bzw. kein Gerichtsschreiber im betreffenden Verfahren mitgewirkt habe.</w:t>
      </w:r>
    </w:p>
    <w:p>
      <w:r>
        <w:rPr>
          <w:b/>
        </w:rPr>
        <w:t>E. 2.2.4</w:t>
      </w:r>
    </w:p>
    <w:p>
      <w:r>
        <w:t>Auch das Obergericht erläuterte daraufhin, dass Art. 5 Abs. 1 GerG bislang nicht in demjenigen Sinne interpretiert worden sei, als dass bei allen Verfahren und Urteilen zwingend eine Gerichtsschreiberperson mitwirken müsse, wobei es "um unnötige Wiederholungen zu vermeiden" auf die kantonsgerichtliche Stellungnahme verwies.</w:t>
      </w:r>
    </w:p>
    <w:p>
      <w:r>
        <w:rPr>
          <w:b/>
        </w:rPr>
        <w:t>E. 2.3</w:t>
      </w:r>
    </w:p>
    <w:p>
      <w:r>
        <w:t>Im Lichte der Stellungnahmen des Obergerichts und des Kantonsgerichts wird deutlich, dass der angefochtene Entscheid in Bezug auf die Frage, ob bei der Entscheidfindung eine Gerichtsschreiberperson mitgewirkt hat bzw. ob sich dieser Umstand mit dem kantonalen Recht vereinbaren lässt, einen fehlerhaften Sachverhalt aufweist. So ging das Obergericht in seinem Entscheid davon aus, dass eine Gerichtsschreiberin oder ein Gerichtsschreiber im erstinstanzlichen Verfahren mitgewirkt hatte. Es bezeichnete die fehlende Unterschrift als "offensichtlichen Fehler"; die Unterzeichnung durch die Gerichtsschreiberperson sei "offensichtlich vergessen" gegangen (vgl. E. 2.2.2). Dies steht in diametralem Widerspruch zu den obergerichtlichen Äusserungen vor Bundesgericht (vgl. E. 2.2.4). Unter diesen Umständen kann das Bundesgericht die Rechtmässigkeit des angefochtenen Entscheids nicht prüfen (vgl. E. 2.1). Der besagte Entscheid ist mithin aufzuheben und die Angelegenheit zu neuer Entscheidung unter Berücksichtigung der Vorgaben von Art. 112 Abs. 1 lit. b BGG an das Obergericht zurückzuweisen. Das Obergericht wird somit zur Frage der Vereinbarkeit des erstinstanzlichen Verfahrens, namentlich der Entscheidfindung ohne Gerichtsschreiberin bzw. Gerichtsschreiber, mit dem kantonalen Recht festhalten müssen, von welchem Sachverhalt es ausgeht und welche rechtlichen Überlegungen es dabei anstellt. Bei diesem Ausgang des Verfahrens sind die weiteren Rügen der Beschwerdeführerin nicht zu behandeln.</w:t>
      </w:r>
    </w:p>
    <w:p>
      <w:r>
        <w:rPr>
          <w:b/>
        </w:rPr>
        <w:t>E. 3</w:t>
      </w:r>
    </w:p>
    <w:p>
      <w:r>
        <w:t>Die Kosten werden bei Rückweisung nach Art. 112 Abs. 3 BGG in der Regel nicht nach dem Ausgang des Verfahrens, sondern nach dem Verursacherprinzip verlegt ( Art. 66 Abs. 3 BGG ; Urteile 5A_229/2020 vom 13. Juli 2020 E. 3; 5A_955/2019 vom 2. Juni 2020 E. 3; 5A_1016/2018 vom 9. Oktober 2019 E. 3; anders Urteil 5A_884/2012 vom 16. Mai 2013 E. 7). Es rechtfertigt sich jedoch, von der Kostenauferlegung an das Gemeinwesen abzusehen (vgl. Art. 66 Abs. 4 BGG ). Hingegen hat der Kanton den Rechtsvertreter der Beschwerdeführerin für das bundesgerichtliche Verfahren zu entschädigen ( Art. 68 Abs. 2 BGG ). Die Beschwerdegegnerin hat die Abweisung der Beschwerde beantragt und folglich keinen Anspruch auf 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