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5A_1004/2017 vom 20. Dezember 2017</w:t>
      </w:r>
    </w:p>
    <w:p>
      <w:r>
        <w:t>Bundesgericht, 2017-12-20, DE</w:t>
      </w:r>
    </w:p>
    <w:p>
      <w:r>
        <w:rPr>
          <w:b/>
        </w:rPr>
        <w:t xml:space="preserve">Quelle: </w:t>
      </w:r>
      <w:r>
        <w:t>https://mcp.opencaselaw.ch/entscheid/bger_5A_1004_2017</w:t>
      </w:r>
    </w:p>
    <w:p>
      <w:r>
        <w:t>FR: TF 5A_1004/2017 du 20 décembre 2017</w:t>
      </w:r>
    </w:p>
    <w:p>
      <w:r>
        <w:t>IT: TF 5A_1004/2017 del 20 dicembre 2017</w:t>
      </w:r>
    </w:p>
    <w:p>
      <w:pPr>
        <w:pStyle w:val="Heading2"/>
      </w:pPr>
      <w:r>
        <w:t>Erwägungen</w:t>
      </w:r>
    </w:p>
    <w:p>
      <w:r>
        <w:rPr>
          <w:b/>
        </w:rPr>
        <w:t>E. 1</w:t>
      </w:r>
    </w:p>
    <w:p>
      <w:r>
        <w:t>Angefochten ist ein kantonal letztinstanzlicher Entscheid über die Verweigerung der unentgeltlichen Rechtspflege betreffend Feststellung von Unregelmässigkeiten in einem Scheidungsverfahren. Abgesehen davon, dass fraglich ist, inwiefern es sich dabei um eine Zivilsache im Sinn von Art. 72 Abs. 1 BGG und nicht eher um eine aufsichtsrechtliche Angelegenheit handelt, stellen Entscheide über die unentgeltliche Rechtspflege ohnehin keine Endentscheide, sondern blosse Zwischenentscheide dar, weil sie das Verfahren in der Hauptsache nicht abschliessen (letztmals Urteile 5A_417/2017 vom 25. Oktober 2017 E. 1.1; 5D_146/2017 vom 17. November 2017 E. 1.2; 4D_67/2017 vom 22. November 2017 E. 1.1). Solche Zwischenentscheide sind nur unter den spezifischen Voraussetzungen von Art. 93 Abs. 1 BGG anfechtbar, wobei diese in der Beschwerde darzutun sind ( BGE 137 III 324 E. 1.1 S. 329; 141 III 80 E. 1.2 S. 81; 142 III 798 E. 2.2 S. 801). Eine solche Darlegung erfolgt nicht, weshalb auf die Eingabe nicht einzutreten ist. Selbst wenn man darüber hinwegsehen und den nicht wieder gutzumachenden Nachteil von Amtes wegen annehmen würde, wäre auf die Beschwerde ohnehin auch in der Sache nicht einzutreten.</w:t>
      </w:r>
    </w:p>
    <w:p>
      <w:r>
        <w:rPr>
          <w:b/>
        </w:rPr>
        <w:t>E. 2</w:t>
      </w:r>
    </w:p>
    <w:p>
      <w:r>
        <w:t>Die Beschwerde hat nämlich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Ein konkretes Rechtsbegehren im Zusammenhang mit der unentgeltlichen Rechtspflege lässt sich der Beschwerde nicht entnehmen; es wird einfach in allgemeiner Weise "beantragt, dass ergangene Gesetzesverletzungen (Unrecht gegenüber dem heutigen BF) festgestellt und korrigiert werden".</w:t>
      </w:r>
    </w:p>
    <w:p>
      <w:r>
        <w:t>Sodann setzt sich der Beschwerdeführer in seiner Beschwerdebegründung (es wäre ein leichtes gewesen, seine Feststellungsklagen auf ihren Wahrheitsgehalt zu überprüfen; er versuche auf friedlichem Weg, seinerzeit entstandene Verletzungen zu bereinigen, wobei man ihm jeweils die unentgeltliche Rechtspflege verweigert habe; er sei mittellos; er habe ein Recht auf Wahrheitsfindung; er habe ein schutzwürdiges Interesse an der sofortigen Feststellung, dass das im November 2003 ergangene Urteil widerrechtlich sei, wozu er auf die Verletzung der Gesetze und seiner Person verweise; betreffend Sorgfaltspflichtsverletzung würden Paragraphen existieren und er kenne sie; die Persönlichkeitsverletzung dauere an und ein Rechtsstaat könne es sich nicht leisten, Fehlurteile aufrechtzuerhalten), nicht sachgerichtet mit den Erwägungen des angefochtenen Entscheides auseinander und es ist nicht ansatzweise ersichtlich, inwiefern der angefochtene Entscheid Recht verletzen soll. Solches ist auch nicht aus den zwei Nachträgen vom 18. Dezember 2017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am Ende der Eingabe sinngemäss gestellte betreffende Gesuch abzuweisen ist.</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