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5A_1004/2015 vom 23. Februar 2016</w:t>
      </w:r>
    </w:p>
    <w:p>
      <w:r>
        <w:t>Bundesgericht, 2016-02-23, DE</w:t>
      </w:r>
    </w:p>
    <w:p>
      <w:r>
        <w:rPr>
          <w:b/>
        </w:rPr>
        <w:t xml:space="preserve">Quelle: </w:t>
      </w:r>
      <w:r>
        <w:t>https://mcp.opencaselaw.ch/entscheid/bger_5A_1004_2015</w:t>
      </w:r>
    </w:p>
    <w:p>
      <w:r>
        <w:t>FR: TF 5A_1004/2015 du 23 février 2016</w:t>
      </w:r>
    </w:p>
    <w:p>
      <w:r>
        <w:t>IT: TF 5A_1004/2015 del 23 febbraio 2016</w:t>
      </w:r>
    </w:p>
    <w:p>
      <w:pPr>
        <w:pStyle w:val="Heading2"/>
      </w:pPr>
      <w:r>
        <w:t>Erwägungen</w:t>
      </w:r>
    </w:p>
    <w:p>
      <w:r>
        <w:rPr>
          <w:b/>
        </w:rPr>
        <w:t>E. 1</w:t>
      </w:r>
    </w:p>
    <w:p>
      <w:r>
        <w:t>Die Beschwerde richtet sich gegen den Endentscheid ( Art. 90 BGG ) einer letzten kantonalen Instanz ( Art. 75 BGG ). Der kindes- resp. erwachsenenschutzrechtliche Entscheid ist öffentlich-rechtlich, steht aber in unmittelbarem Zusammenhang mit Zivilrecht (Art. 72 Abs. 2 lit. b Ziff. 6 BGG). Die Beschwerdebefugnis vor Bundesgericht richtet sich nach Art. 76 Abs. 1 BGG . Danach wird grundsätzlich, von hier nicht interessierenden Ausnahmen abgesehen, ein eigenes schutzwürdiges und praktisches Interesse der beschwerdeführenden Person vorausgesetzt (Urteil 5A_674/2015 vom 29. September 2015 E. 1.2 mit Hinweisen). Weder legt die Beschwerdeführerin ein solches praktisches Interesse dar, noch ist ohne Weiteres ersichtlich, inwiefern es hier gegeben sein sollte (vgl. Urteil 5A_439/2009 vom 14. September 2009 E. 1.2). Jedoch kann auch ein in der Sache nicht legitimierter Beschwerdeführer geltend machen, auf ein Rechtsmittel sei zu Unrecht nicht eingetreten worden, es sei ihm also das Recht verweigert worden ( BGE 135 II 430 E. 3.2 S. 436; vgl. Urteil 1C_605/2014 vom 6. Juli 2015 E. 2.6). Die Argumentation der - ohne anwaltliche Vertretung prozessierenden - Beschwerdeführerin könnte insgesamt so verstanden werden. Es ist jedoch zweifelhaft, ob die Begründung des Rechtsmittels diesbezüglich den gesetzlichen Anforderungen standhielte (vgl. Art. 42 Abs. 2 und 106 Abs. 2 BGG). Da aus den nachfolgend darzulegenden Gründen ohnehin nicht auf die Beschwerde einzutreten ist, kann indessen offen bleiben, ob die Beschwerdeführerin unter diesem Gesichtspunkt als legitimiert anzusehen wäre.</w:t>
      </w:r>
    </w:p>
    <w:p>
      <w:r>
        <w:rPr>
          <w:b/>
        </w:rPr>
        <w:t>E. 2.1</w:t>
      </w:r>
    </w:p>
    <w:p>
      <w:r>
        <w:t>Die Beschwerdeführerin beantragt wie schon vor Obergericht nur noch, es seien Strafuntersuchungen gegen verschiedene Stellen zu ermöglichen, welche mit der Vormundschaft über ihre Enkelin (nunmehr Art. 327a ff. ZGB ) befasst gewesen waren. Die Vorinstanz hat die kantonale Beschwerde abgewiesen, soweit die Beschwerdeführerin das bezirksrätliche Nichteintreten gerügt hat. Derweil ist sie auf das Rechtsmittel nicht eingetreten, soweit sich die erhobenen Rügen nicht auf die Sachurteilsvoraussetzungen für den Prozessentscheid des Bezirksrats bezogen haben.</w:t>
      </w:r>
    </w:p>
    <w:p>
      <w:r>
        <w:rPr>
          <w:b/>
        </w:rPr>
        <w:t>E. 2.2.1</w:t>
      </w:r>
    </w:p>
    <w:p>
      <w:r>
        <w:t>Im öffentlich-rechtlichen Beschwerdeverfahren sind grundsätzlich nur Rechtsverhältnisse zu überprüfen, zu denen die zuständige Behörde vorgängig verbindlich - in Form einer Verfügung - Stellung genommen hat. Insoweit bestimmt die Verfügung den beschwerdeweise weiterziehbaren Anfechtungsgegenstand ( BGE 134 V 418 E. 5.2.1 S. 426; 131 V 164 E. 2.1).</w:t>
      </w:r>
    </w:p>
    <w:p>
      <w:r>
        <w:rPr>
          <w:b/>
        </w:rPr>
        <w:t>E. 2.2.2</w:t>
      </w:r>
    </w:p>
    <w:p>
      <w:r>
        <w:t>Die ursprünglich strittigen Punkte, namentlich die von der Beschwerdeführerin verlangte Ersetzung des damaligen Beistandes ihrer Enkelin, waren im Zeitpunkt des Nichteintretensbeschlusses des Bezirksrats vom 25. September 2015 gegenstandslos geworden, weil die kindesschutzrechtliche Massnahme infolge Volljährigkeit der Betroffenen von Gesetzes wegen aufzuheben gewesen war. Das aktuelle und praktische Interesse an einer Beurteilung der Beschwerde war insoweit dahingefallen. Zu Recht wendet sich die Beschwerdeführerin denn auch nicht mehr gegen die Ausgestaltung der Vorkehr als solcher. Sie möchte aber indirekt eine gerichtliche Auseinandersetzung mit der abgeschlossenen Minderjährigenvormundschaft erwirken, indem sie beantragt, deren Ausgestaltung resp. Führung sei mit Mitteln des Strafrechts aufzuarbeiten. Dies kann nicht im Rahmen des kindes- und erwachsenenschutzrechtlichen Instanzenzuges bewerkstelligt werden. Der Bezirksrat hat sich - aus Zuständigkeitsgründen zu Recht - nicht mit der Frage befasst, ob eine Strafuntersuchung angezeigt sei. Im anschliessenden gerichtlichen Instanzenzug liegt das Rechtsbegehren der Beschwerdeführerin ausserhalb des Anfechtungsgegenstandes. Schon insoweit kann auf die Beschwerde nicht eingetreten werden, zumal die Beschwerdeführerin auch nicht ausführt, weshalb die Vorinstanz Bundesrecht verletzt haben soll, als sie der Sache nach ihrerseits nicht auf die Beschwerde eintrat ( Art. 42 Abs. 2 BGG ; BGE 135 II 172 E. 2.2.2 S. 176; 118 Ib 134 ).</w:t>
      </w:r>
    </w:p>
    <w:p>
      <w:r>
        <w:rPr>
          <w:b/>
        </w:rPr>
        <w:t>E. 2.2.3</w:t>
      </w:r>
    </w:p>
    <w:p>
      <w:r>
        <w:t>Das Obergericht hat weiterführende Erwägungen angestellt, welche ausserhalb des Verfahrensthemas liegende Gegenstände betreffen (vgl. oben E. 2.2.1). Auch hinsichtlich der darauf bezogenen Rügen kann die Beschwerde nicht materiell an die Hand genommen werden.</w:t>
      </w:r>
    </w:p>
    <w:p>
      <w:r>
        <w:rPr>
          <w:b/>
        </w:rPr>
        <w:t>E. 3</w:t>
      </w:r>
    </w:p>
    <w:p>
      <w:r>
        <w:t>Bei diesem Ausgang des Verfahrens hat die Beschwerdeführerin für die Gerichtskosten aufzukommen ( Art. 66 Abs. 1 BGG ). Ihr Gesuch um unentgeltliche Rechtspflege für das bundesgerichtliche Verfahren ist abzuweisen; das Rechtsbegehren erschien aussichtslos ( Art. 64 Abs. 1 BGG ). Jedoch wird bei der Ansetzung der Gerichtskosten der finanziellen Lage der Beschwerdeführerin Rechnung getragen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