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5A_1001/2019 vom 21. Februar 2020</w:t>
      </w:r>
    </w:p>
    <w:p>
      <w:r>
        <w:t>Bundesgericht, 2020-02-21, FR</w:t>
      </w:r>
    </w:p>
    <w:p>
      <w:r>
        <w:rPr>
          <w:b/>
        </w:rPr>
        <w:t xml:space="preserve">Quelle: </w:t>
      </w:r>
      <w:r>
        <w:t>https://mcp.opencaselaw.ch/entscheid/bger_5A_1001_2019</w:t>
      </w:r>
    </w:p>
    <w:p>
      <w:r>
        <w:t>FR: TF 5A_1001/2019 du 21 février 2020</w:t>
      </w:r>
    </w:p>
    <w:p>
      <w:r>
        <w:t>IT: TF 5A_1001/2019 del 21 febbraio 2020</w:t>
      </w:r>
    </w:p>
    <w:p>
      <w:pPr>
        <w:pStyle w:val="Heading2"/>
      </w:pPr>
      <w:r>
        <w:t>Erwägungen</w:t>
      </w:r>
    </w:p>
    <w:p>
      <w:r>
        <w:rPr>
          <w:b/>
        </w:rPr>
        <w:t>E. 1</w:t>
      </w:r>
    </w:p>
    <w:p>
      <w:r>
        <w:t>Formé dans le délai légal ( art. 100 al. 2 let. a LTF en relation avec l' art. 19 LP ) par une partie qui a succombé dans ses conclusions prises devant l'autorité précédente ( art. 76 al. 1 LTF ) et dirigé contre une décision finale ( art. 90 LTF ; AF 133 III 350 consid. 1.2)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La recourante attaque la décision cantonale en invoquant essentiellement des griefs d'ordre formel.</w:t>
      </w:r>
    </w:p>
    <w:p>
      <w:r>
        <w:rPr>
          <w:b/>
        </w:rPr>
        <w:t>E. 3.1</w:t>
      </w:r>
    </w:p>
    <w:p>
      <w:r>
        <w:t>La Chambre de surveillance a jugé qu'il était infondé de retenir que l'exécution du séquestre litigieux consacrerait un abus de droit, retenant pour l'essentiel que, faute d'avoir contesté la valeur de 266'440 euros attribuée aux actifs séquestrés devant le juge italien de l'exécution, la recourante était désormais forclose pour critiquer l'exactitude de cette estimation dans le cadre de la présente exécution du séquestre, étant précisé qu'elle n'apportait de surcroît aucun élément concret permettant de retenir qu'une valeur plus élevée aurait dû être retenue par les autorités italiennes.</w:t>
      </w:r>
    </w:p>
    <w:p>
      <w:r>
        <w:rPr>
          <w:b/>
        </w:rPr>
        <w:t>E. 3.2</w:t>
      </w:r>
    </w:p>
    <w:p>
      <w:r>
        <w:t>La recourante prétend d'abord que la décision entreprise ne satisferait pas aux exigences minimales de l' art. 112 al. 1 let. b LTF . Elle soutient qu'aucune référence ou discussion des pièces produites par les parties n'aurait été effectuée par la cour cantonale et affirme ensuite que celle-ci ne trancherait pas la question de savoir si une véritable estimation des biens séquestrés aurait été faite en Italie par les autorités italiennes, si elle pouvait contester cette estimation, à quel stade et dans quelle procédure.</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138 IV 81 consid. 2.2). Si une décision attaquée ne satisfait pas aux exigences fixées à l' art. 112 al. 1 LTF , le Tribunal fédéral peut soit la renvoyer à l'autorité cantonale en invitant celle-ci à la parfaire, soit l'annuler ( art. 112 al. 3 LTF ). Cette disposition s'adresse cependant à l'autorité cantonale qui statue immédiatement avant le recours au Tribunal fédéral (EHRENZELLER, in Basler Kommentar, Bundesgerichtsgesetz, 3e éd. 2018, n. 2 ad art. 112 LTF ; CORBOZ, in Commentaire de la LTF, 2e éd. 2014, n. 4 ad art. 112 LTF ; VON WERDT, Die Beschwerde in Zivilsachen, Ein Handbuch für Beschwerdeführer und Beschwerdegegnern, 2010, n. 1014) : elle ne peut donc être invoquée comme telle par la recourante, les critiques que celle-ci soulève relevant en réalité de la violation de son droit d'être entendue, qu'elle dénonce d'ailleurs également (infra consid. 3.3).</w:t>
      </w:r>
    </w:p>
    <w:p>
      <w:r>
        <w:rPr>
          <w:b/>
        </w:rPr>
        <w:t>E. 3.3</w:t>
      </w:r>
    </w:p>
    <w:p>
      <w:r>
        <w:t>Dans un second grief, la recourante invoque en effet la violation de son droit d'être entendue et reproche à l'autorité cantonale un déni de justice ( art. 29 al. 1 et 2 Cst. ).</w:t>
      </w:r>
    </w:p>
    <w:p>
      <w:r>
        <w:rPr>
          <w:b/>
        </w:rPr>
        <w:t>E. 3.3.1</w:t>
      </w:r>
    </w:p>
    <w:p>
      <w:r>
        <w:t>Au sujet de la violation de son droit d'être entendue, la recourante prétend ainsi qu'elle ne se serait pas vu octroyer un droit de réplique effectif, les arguments présentés dans ses dernières écritures ayant été purement et simplement ignorés et la décision étant fondée exclusivement sur la réponse de sa partie adverse. Entre les lignes, l'on comprend également que la recourante invoque l'établissement arbitraire des faits en ce sens qu'il ne ressortait pas des faits établis par l'autorité cantonale que celle-ci avait clôt la procédure suite aux déterminations de l'intimée et de l'Office, sans l'inviter à se déterminer; elle avait ainsi dû solliciter un second échange d'écriture, qui lui avait finalement été accordé.</w:t>
      </w:r>
    </w:p>
    <w:p>
      <w:r>
        <w:rPr>
          <w:b/>
        </w:rPr>
        <w:t>E. 3.3.1.1</w:t>
      </w:r>
    </w:p>
    <w:p>
      <w:r>
        <w:t>Il s'agit de souligner à ce dernier propos qu'en tant que la recourante a pu répliquer, la mention du déroulement précis des circonstances précédant sa réplique n'a aucune influence sur l'issue du litige, du moins l'intéressée ne le démontre pas. Autant que recevable, sa critique est en conséquence infondée (consid. 2.2 supra).</w:t>
      </w:r>
    </w:p>
    <w:p>
      <w:r>
        <w:rPr>
          <w:b/>
        </w:rPr>
        <w:t>E. 3.3.1.2</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3.3.1.3</w:t>
      </w:r>
    </w:p>
    <w:p>
      <w:r>
        <w:t>Quoi qu'en dise la recourante, la Chambre de surveillance a traité les questions que soulevaient les passages de sa réplique repris dans le présent recours. Au sujet de la prétendue tentative de l'intimée de faire échapper au contrôle de l'Office des poursuites l'estimation de la valeur des biens séquestrés dans les autres séquestres, l'autorité cantonale a en effet indiqué qu'il n'appartenait pas à l'Office de substituer sa propre estimation à celle retenue par les autorités italiennes compétentes, estimation qui n'avait pas été remise en cause par la recourante. A propos de l'estimation des montres elle-même, la cour cantonale a rappelé que celle-ci avait été effectuée en Italie par un huissier judiciaire dûment habilité en vertu du droit italien à procéder à la saisie conservatoire des biens du débiteur et à estimer la valeur de réalisation prévisible de ces objets. La Chambre de surveillance a également relevé que, contrairement à ce que soutenait la recourante, il n'appartenait pas à l'Office - qui n'avait pas accès aux montres séquestrées en Italie et n'était pas à même d'évaluer leur prix de réalisation prévisible sur le territoire italien - de substituer sa propre estimation à celle retenue par les autorités italiennes compétentes; la recourante, qui avait fait opposition au séquestre devant le juge italien de l'exécution, n'avait pas remis en cause l'estimation des actifs figurant aux procès-verbaux de séquestre des 11 décembre 2015 et 31 août 2017; elle n'avait non plus requis de l'huissier judiciaire italien qu'il procède à l'estimation des montres avec l'assistance d'un expert comme le prévoyait l' art. 518 CPC -it., ni sollicité une réduction du séquestre ainsi que lui permettait l' art. 496 CPC -it. La Chambre de surveillance ne s'est certes pas référée aux art. 535 et 539 CPC -It., dispositions que la recourante invoquait pour attribuer au juge civil la compétence d'estimer les biens séquestrés et affirmer la persistance de son droit à contester dite estimation en Suisse. Ces dispositions, qui s'insèrent dans la section relative à l'assignation et à la vente (" Sezione III - Dell'assegnazione e della vendita "), concernent cependant manifestement une étape ultérieure de la procédure, à savoir la vente des objets préalablement séquestrés; elles ne sont donc pas pertinentes à ce stade.</w:t>
      </w:r>
    </w:p>
    <w:p>
      <w:r>
        <w:t>L'on relèvera que ces explications permettent également d'écarter les critiques soulevées par la recourante dans le cadre de son premier grief, relié à tort à l' art. 112 LTF (consid. 3.2).</w:t>
      </w:r>
    </w:p>
    <w:p>
      <w:r>
        <w:rPr>
          <w:b/>
        </w:rPr>
        <w:t>E. 3.3.2</w:t>
      </w:r>
    </w:p>
    <w:p>
      <w:r>
        <w:t>La recourante prétend ensuite que la décision entreprise consacrerait un déni de justice. Ne contenant aucune correspondance entre un fait et une pièce, la décision cantonale nécessiterait une " déconstruction ", suivie d'une " reconstruction " pour pouvoir être entreprise efficacement. Cette charge, qui se révélerait extrêmement compliquée pour la recourante dans le bref délai légal qui lui était imparti, reviendrait ainsi à l'empêcher de recourir utilement.</w:t>
      </w:r>
    </w:p>
    <w:p>
      <w:r>
        <w:t>Au contraire de ce que soutient la recourante, l'état de fait de la décision entreprise, de même que le raisonnement ayant conduit à son résultat sont parfaitement clairs. L'on ne saisit donc nullement les difficultés particulières que soulèverait l'exercice d'un recours à son encontre si ce n'est celles inhérentes à toute argumentation juridique. Infondée, sa critique doit être rejetée.</w:t>
      </w:r>
    </w:p>
    <w:p>
      <w:r>
        <w:rPr>
          <w:b/>
        </w:rPr>
        <w:t>E. 4</w:t>
      </w:r>
    </w:p>
    <w:p>
      <w:r>
        <w:t>Les considérations qui précèdent conduisent au rejet du recours dans la mesure de sa recevabilité. Les frais sont à la charge de la recourante ( art. 66 al. 1 LTF ), étant précisé qu'il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