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5A_1000/2018 vom 3. Mai 2019</w:t>
      </w:r>
    </w:p>
    <w:p>
      <w:r>
        <w:t>Bundesgericht, 2019-05-03, FR</w:t>
      </w:r>
    </w:p>
    <w:p>
      <w:r>
        <w:rPr>
          <w:b/>
        </w:rPr>
        <w:t xml:space="preserve">Quelle: </w:t>
      </w:r>
      <w:r>
        <w:t>https://mcp.opencaselaw.ch/entscheid/bger_5A_1000_2018</w:t>
      </w:r>
    </w:p>
    <w:p>
      <w:r>
        <w:t>FR: TF 5A_1000/2018 du 3 mai 2019</w:t>
      </w:r>
    </w:p>
    <w:p>
      <w:r>
        <w:t>IT: TF 5A_1000/2018 del 3 maggio 2019</w:t>
      </w:r>
    </w:p>
    <w:p>
      <w:pPr>
        <w:pStyle w:val="Heading2"/>
      </w:pPr>
      <w:r>
        <w:t>Erwägungen</w:t>
      </w:r>
    </w:p>
    <w:p>
      <w:r>
        <w:rPr>
          <w:b/>
        </w:rPr>
        <w:t>E. 1</w:t>
      </w:r>
    </w:p>
    <w:p>
      <w:r>
        <w:t>Le recours en matière civile est recevable (art. 90, 72 al. 1, 75 al. 1 et 2, 76 al. 1, 100 al. 1 LTF), étant précisé que la cause est non pécuniaire dans son ensemble (parmi plusieurs: arrêts 5A_369/2018 du 14 août 2018 consid. 1.1; 5A_837/2017 du 27 février 2018 consid. 1).</w:t>
      </w:r>
    </w:p>
    <w:p>
      <w:r>
        <w:rPr>
          <w:b/>
        </w:rPr>
        <w:t>E. 2.1</w:t>
      </w:r>
    </w:p>
    <w:p>
      <w:r>
        <w:t>La décision attaquée porte sur des mesures protectrices de l'union conjugale (art. 172 à 179 CC), lesquelles sont considérées comme des mesures provisionnelles au sens de l' art. 98 LTF (ATF 133 précité consid. 5). Seule la violation de droits constitutionnels peut en conséquence être soulevée à leur encontre. Le Tribunal fédéral n'examine de tels griefs que s'ils ont été invoqués et motivés ("principe d'allégation ", art. 106 al. 2 LTF ), à savoir expressément soulevés et exposés de manière claire et détaillée ( ATF 139 I 229 consid. 2.2; 134 I 83 consid. 3.2; 133 III 393 consid. 6; 133 IV 286 consid. 1.4).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ceux concernant le déroulement de la procédure devant l'instance précédente afin d'en contester la régularité, ou encore des faits postérieurs à l'arrêt attaqué permettant d'établir la recevabilité du recours (arrêts 5A_493/2018 du 5 novembre 2018 consid. 2.4;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rPr>
          <w:b/>
        </w:rPr>
        <w:t>E. 3</w:t>
      </w:r>
    </w:p>
    <w:p>
      <w:r>
        <w:t>Le recourant se plaint exclusivement d'arbitraire dans l'établissement des faits.</w:t>
      </w:r>
    </w:p>
    <w:p>
      <w:r>
        <w:rPr>
          <w:b/>
        </w:rPr>
        <w:t>E. 3.1</w:t>
      </w:r>
    </w:p>
    <w:p>
      <w:r>
        <w:t>Se fondant sur le contrat de bail produit devant elle par l'intéressé, la cour cantonale a retenu que le recourant avait pris à bail un appartement de trois pièces avec son fils D.________ et que tous deux vivaient en colocation. La juridiction cantonale a ainsi admis dans les charges du recourant la moitié du loyer de cet appartement et réduit sa base mensuelle d'entretien à 850 fr.</w:t>
      </w:r>
    </w:p>
    <w:p>
      <w:r>
        <w:rPr>
          <w:b/>
        </w:rPr>
        <w:t>E. 3.1.1</w:t>
      </w:r>
    </w:p>
    <w:p>
      <w:r>
        <w:t>Le recourant affirme que son fils D.________ figurait en réalité sur le contrat à titre de caution et reproche à la cour cantonale de ne jamais s'être questionnée sur la colocation effective entre lui-même et son fils, ce d'autant plus que l'intimée n'aurait jamais allégué qu'ils vivaient ensemble. Or il en résultait des conséquences inévitables sur le montant de ses charges et, ainsi, sur celui de la contribution d'entretien due à son épouse. Afin d'établir qu'il occuperait seul l'appartement et s'acquitterait ainsi lui-même de son loyer, le recourant produit devant le Tribunal de céans un courrier de son fils D.________ attestant de la situation; y sont joints copie du propre contrat de bail de celui-ci ainsi que la preuve du versement de ses loyers.</w:t>
      </w:r>
    </w:p>
    <w:p>
      <w:r>
        <w:rPr>
          <w:b/>
        </w:rPr>
        <w:t>E. 3.1.2</w:t>
      </w:r>
    </w:p>
    <w:p>
      <w:r>
        <w:t>Il convient d'emblée de relever que les preuves fournies devant le Tribunal de céans sont irrecevables en tant qu'elles pouvaient parfaitement l'être devant l'autorité cantonale, malgré la prétendue imprévisibilité de la décision entreprise sur ce point ( art. 99 al. 1 LTF ; consid. 2.3 supra). L'on ne saurait au demeurant reprocher à la cour cantonale d'avoir arbitrairement retenu une colocation entre le recourant et son fils sur la base du contrat de bail déposé au dossier, tous deux y figurant effectivement comme locataires et aucune précision complémentaire n'ayant été apportée par le recourant sur ce point. L'on rappellera en effet à cet égard que, nonobstant l'application de la maxime inquisitoire ( art. 296 al. 1 CPC ), le recourant n'est pas dispensé de son devoir de collaborer activement à la procédure ( ATF 128 III 411 consid. 3.2.1; arrêt 5A_400/2018 du 28 août 2018 consid. 4.3.1 et les références). Vu les informations ressortant du contrat de bail produit, il lui appartenait ainsi de préciser et d'établir, devant l'instance précédente, qu'il vivait seul dans l'appartement récemment pris en location et que son fils ne participait pas au paiement du loyer.</w:t>
      </w:r>
    </w:p>
    <w:p>
      <w:r>
        <w:rPr>
          <w:b/>
        </w:rPr>
        <w:t>E. 3.2</w:t>
      </w:r>
    </w:p>
    <w:p>
      <w:r>
        <w:t>Le recourant relève également que la Cour de justice aurait écarté sans justification plusieurs charges pourtant alléguées et attestées par pièces; ces frais n'auraient de surcroît pas été contestés par l'intimée. Cette critique est manifestement irrecevable, le recourant n'expliquant absolument pas à quel (s) poste (s) il se réfère.</w:t>
      </w:r>
    </w:p>
    <w:p>
      <w:r>
        <w:rPr>
          <w:b/>
        </w:rPr>
        <w:t>E. 3.3</w:t>
      </w:r>
    </w:p>
    <w:p>
      <w:r>
        <w:t>La cour cantonale a par ailleurs attribué la garde de l'enfant C.________ à sa mère, relevant que les avis exprimés par l'intéressée au Service de protection des mineurs (SPMi) et en audience dénotaient son ambivalence et son incapacité à se déterminer sur la question de sa garde. Le rapport du SPMi, qui préconisait l'octroi de la garde au père, devait par ailleurs être relativisé et ses appréciations replacées dans leur contexte.</w:t>
      </w:r>
    </w:p>
    <w:p>
      <w:r>
        <w:rPr>
          <w:b/>
        </w:rPr>
        <w:t>E. 3.3.1</w:t>
      </w:r>
    </w:p>
    <w:p>
      <w:r>
        <w:t>Le recourant reproche à la juridiction cantonale de ne pas avoir retenu que C.________ souhaitait en réalité bénéficier d'une garde alternée. A son sens, ce désir ressortait pourtant clairement de l'audience tenue le 20 septembre 2017 devant le Tribunal dès lors que la jeune fille avait alors prétendu que la relation avec ses deux parents s'était améliorée. Le recourant produit par ailleurs devant le Tribunal de céans un courrier rédigée de la main de C.________ confirmant son souhait de vivre tant chez sa mère que chez son père.</w:t>
      </w:r>
    </w:p>
    <w:p>
      <w:r>
        <w:rPr>
          <w:b/>
        </w:rPr>
        <w:t>E. 3.3.2</w:t>
      </w:r>
    </w:p>
    <w:p>
      <w:r>
        <w:t>A l'évidence, cette dernière pièce est irrecevable au regard de l' art. 99 al. 1 LTF (consid. 2.3 supra). Que les parties n'aient prétendument jamais été interpellées sur la possibilité d'une garde alternée n'est à cet égard nullement déterminant pour justifier de la tardiveté de sa production. Au surplus, le recourant ne conteste pas la motivation cantonale conformément aux exigences strictes s'appliquant dans le contexte d'un recours dirigé contre des mesures provisionnelles (consid. 2.1 supra), en sorte que sa critique est irrecevable.</w:t>
      </w:r>
    </w:p>
    <w:p>
      <w:r>
        <w:rPr>
          <w:b/>
        </w:rPr>
        <w:t>E. 4</w:t>
      </w:r>
    </w:p>
    <w:p>
      <w:r>
        <w:t>En définitive, le recours est rejeté dans la faible mesure de sa recevabilité et les frais sont mis à la charge du recourant ( art. 66 al. 1 LTF ). L'intimée a droit à une indemnité de dépens pour sa détermination sur la requête d'effet suspensif dès lors que le recourant a succombé sur ce point également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