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5A.35/2006 vom 5. Juni 2007</w:t>
      </w:r>
    </w:p>
    <w:p>
      <w:r>
        <w:t>Bundesgericht, 2007-06-05, FR</w:t>
      </w:r>
    </w:p>
    <w:p>
      <w:r>
        <w:rPr>
          <w:b/>
        </w:rPr>
        <w:t xml:space="preserve">Quelle: </w:t>
      </w:r>
      <w:r>
        <w:t>https://mcp.opencaselaw.ch/entscheid/bger_5A.35_2006</w:t>
      </w:r>
    </w:p>
    <w:p>
      <w:r>
        <w:t>FR: TF 5A.35/2006 du 5 juin 2007</w:t>
      </w:r>
    </w:p>
    <w:p>
      <w:r>
        <w:t>IT: TF 5A.35/2006 del 5 giugno 2007</w:t>
      </w:r>
    </w:p>
    <w:p>
      <w:pPr>
        <w:pStyle w:val="Heading2"/>
      </w:pPr>
      <w:r>
        <w:t>Erwägungen</w:t>
      </w:r>
    </w:p>
    <w:p>
      <w:r>
        <w:rPr>
          <w:b/>
        </w:rPr>
        <w:t>E. 1</w:t>
      </w:r>
    </w:p>
    <w:p>
      <w:r>
        <w:t>L'arrêt attaqué ayant été rendu avant l'entrée en vigueur, le 1er janvier 2007 (RO 2006 1242), de la loi fédérale du 17 juin 2005 sur le Tribunal fédéral (LTF; RS 173.110), l'ancienne loi d'organisation judiciaire (OJ) est applicable à la présente cause ( art. 132 al. 1 LTF ).</w:t>
      </w:r>
    </w:p>
    <w:p>
      <w:r>
        <w:rPr>
          <w:b/>
        </w:rPr>
        <w:t>E. 2</w:t>
      </w:r>
    </w:p>
    <w:p>
      <w:r>
        <w:t>Le Tribunal fédéral examine d'office et avec une pleine cognition la recevabilité des recours qui lui sont soumis ( ATF 131 II 571 consid. 1 p. 573 et les arrêts cités).</w:t>
      </w:r>
    </w:p>
    <w:p>
      <w:r>
        <w:rPr>
          <w:b/>
        </w:rPr>
        <w:t>E. 2.1</w:t>
      </w:r>
    </w:p>
    <w:p>
      <w:r>
        <w:t>Selon les art. 97 et 98 let . g OJ, en relation avec l' art. 5 PA , la voie du recours de droit administratif est ouverte contre les décisions des autorités cantonales de dernière instance qui sont fondées sur le droit fédéral - ou auraient dû l'être -, pour autant qu'aucune des exceptions prévues aux art. 99 à 102 OJ, ou dans la législation spéciale, ne soit réalisée. Tel est le cas en l'espèce. L' art. 89 LDFR prévoit d'ailleurs expressément cette voie de droit contre les décisions sur recours prises par les autorités cantonales de dernière instance au sens des art. 80 al. 1 et 88 al. 1 LDFR. Déposé en temps utile, le présent recours est aussi recevable au regard de l' art. 106 al. 1 OJ .</w:t>
      </w:r>
    </w:p>
    <w:p>
      <w:r>
        <w:rPr>
          <w:b/>
        </w:rPr>
        <w:t>E. 2.2</w:t>
      </w:r>
    </w:p>
    <w:p>
      <w:r>
        <w:t>Selon la règle générale de l' art. 103 let. a OJ , quiconque est atteint par la décision attaquée et a un intérêt digne de protection à ce qu'elle soit annulée ou modifiée a qualité pour interjeter un recours de droit administratif. Toutefois, l' art. 83 al. 3 LDFR , qui restreint la qualité pour former un recours devant l'autorité cantonale ( art. 88 LDFR ) contre le refus ou l'octroi d'une autorisation au sens des art. 61 ss LDFR , s'applique aussi dans le cadre du recours de droit administratif au Tribunal fédéral ( ATF 126 III 274 consid. 1b p. 275).</w:t>
      </w:r>
    </w:p>
    <w:p>
      <w:r>
        <w:rPr>
          <w:b/>
        </w:rPr>
        <w:t>E. 2.2.1</w:t>
      </w:r>
    </w:p>
    <w:p>
      <w:r>
        <w:t>Aux termes de l' art. 83 al. 3 LDFR , les parties contractantes peuvent interjeter un recours devant l'autorité cantonale de recours ( art. 88 LDFR ) contre le refus d'autorisation, l'autorité cantonale de surveillance, le fermier et les titulaires du droit d'emption, du droit de préemption ou du droit à l'attribution, contre l'octroi de l'autorisation.</w:t>
      </w:r>
    </w:p>
    <w:p>
      <w:r>
        <w:t>Les sociétés venderesse et acquéresse ont donc qualité pour recourir contre le refus de l'autorisation d'acquérir.</w:t>
      </w:r>
    </w:p>
    <w:p>
      <w:r>
        <w:rPr>
          <w:b/>
        </w:rPr>
        <w:t>E. 2.2.2</w:t>
      </w:r>
    </w:p>
    <w:p>
      <w:r>
        <w:t>C.________, qui a fait une offre à la suite de l'appel d'offres public publié en application de l' art. 64 al. 1 let . f LDFR, a la qualité d'intimée à la présente procédure.</w:t>
      </w:r>
    </w:p>
    <w:p>
      <w:r>
        <w:t>En effet, selon la jurisprudence, l' 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 ATF 126 III 274 consid. 1c p. 276). Ainsi, l'exploitant à titre personnel - qui n'a certes pas un droit à l'acquisition de l'entreprise ou de l'immeuble agricole (Bandli/Stalder, Le droit foncier rural, Brugg 1998, n. 37 ad art. 64 LDFR ), mais pourrait acquérir si le propriétaire persistait dans son intention de vendre - n'appartient pas au cercle des intéressés que le législateur avait l'intention d'exclure à l' art. 83 al. 3 LDFR (arrêt 5A.3/2006 du 28 avril 2006, consid. 3.1 non publié aux ATF 132 III 658 ). C.________, qui avait qualité pour recourir en instance cantonale, a ainsi qualité d'intimée au recours de droit administratif interjeté au Tribunal fédéral par ses parties adverses.</w:t>
      </w:r>
    </w:p>
    <w:p>
      <w:r>
        <w:rPr>
          <w:b/>
        </w:rPr>
        <w:t>E. 2.3</w:t>
      </w:r>
    </w:p>
    <w:p>
      <w:r>
        <w:t>L'OFJ a la qualité de partie (art. 5 al. 1 let. a de l'ordonnance du 4 octobre 1993 sur le droit foncier rural (ODFR; RS 211.412.110).</w:t>
      </w:r>
    </w:p>
    <w:p>
      <w:r>
        <w:rPr>
          <w:b/>
        </w:rPr>
        <w:t>E. 3</w:t>
      </w:r>
    </w:p>
    <w:p>
      <w:r>
        <w:t>Selon l' art. 104 let. a OJ , le recours de droit administratif au Tribunal fédéral peut être formé pour violation du droit fédéral, y compris l'excès et l'abus du pouvoir d'appréciation. Le Tribunal fédéral revoit d'office l'application du droit fédéral, qui englobe notamment les droits constitutionnels des citoyens.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130 I 312 consid. 1.2 p. 318 et les références citées).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4.1</w:t>
      </w:r>
    </w:p>
    <w:p>
      <w:r>
        <w:t>Le Tribunal administratif vaudois a considéré qu'il n'y avait, en l'espèce, pas à proprement parler de "vente avec soi -même", ainsi que l'avait jugé la commission foncière, les parties au contrat étant deux personnes morales distinctes; il y avait en revanche un transfert de propriété au sens de l' art. 61 al. 3 LDFR , sujet à autorisation conformément à l' art. 61 al. 1 LDFR . Par ailleurs, le fait qu'il y ait, sur le plan économique, identité entre l'aliénatrice et l'acquéresse ne justifiait pas une exception au principe de l'exploitation à titre personnel ( art. 64 al. 1 LDFR ); le désir de l'actionnaire unique de conserver la propriété économique des biens-fonds dans la perspective d'une aliénation partielle ou totale du capital-actions de B.________ SA par le moyen d'un transfert des immeubles à A.________ SA ne constituait pas en soi un juste motif. Cela étant, l'autorité cantonale a réformé la décision attaquée en ce sens que l'autorisation d'acquérir les parcelles litigieuses a été refusée.</w:t>
      </w:r>
    </w:p>
    <w:p>
      <w:r>
        <w:rPr>
          <w:b/>
        </w:rPr>
        <w:t>E. 4.2</w:t>
      </w:r>
    </w:p>
    <w:p>
      <w:r>
        <w:t>Les recourantes prétendent que l'opération envisagée ne constitue pas une aliénation soumise à autorisation au sens de l' art. 61 LDFR . Elles soutiennent que celle-là ne peut être qualifiée de vente, dès lors que le "domaine agricole" est transféré à une société, propriété du même groupe, de façon à ce qu'il reste dans le giron de la même entité économique; sans ce transfert, la vente de B.________ SA entraînerait la prise de possession du "domaine" par un tiers. Dans le cas où cette thèse ne serait pas suivie, les recourantes se prévalent d'un juste motif au sens de l' art. 64 al. 1 LDFR ; l'aliénation des immeubles litigieux n'engendrerait aucune modification des terrains appartenant à des exploitants à titre personnel, ne soustrairait rien à l'agriculture et serait ainsi neutre sur le plan agricole. Les recourantes exposent enfin qu'à défaut, l'autorité cantonale devait examiner la question de l' art. 64 al. 1 let . f LDFR; à cet égard, elles soulignent que l'intimée n'est pas une exploitante à titre personnel au sens de l' art. 9 LDFR , élève quelques chevaux, sans qu'il y ait un quelconque besoin relevant de l'agriculture, dans le cadre d'une activité qui s'apparente à un hobby et n'entend pas cultiver elle-même les terrains agricoles. Elles précisent encore que les 50'000 m2 de terres sont loués à un fermier.</w:t>
      </w:r>
    </w:p>
    <w:p>
      <w:r>
        <w:rPr>
          <w:b/>
        </w:rPr>
        <w:t>E. 4.3</w:t>
      </w:r>
    </w:p>
    <w:p>
      <w:r>
        <w:t>Sous réserve des exceptions prévues par l' art. 62 LDFR , celui qui entend acquérir une entreprise ou un immeuble agricole doit obtenir une autorisation ( art. 61 al. 1 LDFR ). Selon l' art. 61 al. 3 LDFR , sont des acquisitions le transfert de la propriété ainsi que tout autre acte juridique équivalant économiquement à un tel transfert ( ATF 127 III 90 consid. 5 p. 97). Le but de l'assujettissement à autorisation est de garantir que le transfert de propriété corresponde aux objectifs du droit foncier rural, au premier rang desquels figure la concrétisation du principe de l'exploitation à titre personnel ( ATF 132 III 658 consid. 3.3.1 p. 659).</w:t>
      </w:r>
    </w:p>
    <w:p>
      <w:r>
        <w:t>En l'espèce, B.________ SA veut transférer la propriété des immeubles agricoles à une personne morale différente, A.________ SA. A cet effet, elle doit conclure un contrat de vente avec cette dernière société, puis requérir du conservateur du registre foncier l'inscription de la nouvelle propriétaire. Il y a donc bien un transfert de propriété ("Eigentumsübertragung") au sens des droits réels et, partant, une acquisition selon l' art. 61 al. 3 LDFR . Aucune des exceptions de l' art. 62 LDFR n'étant invoquée, ni réalisée, l'opération envisagée est donc soumise à autorisation.</w:t>
      </w:r>
    </w:p>
    <w:p>
      <w:r>
        <w:rPr>
          <w:b/>
        </w:rPr>
        <w:t>E. 4.4</w:t>
      </w:r>
    </w:p>
    <w:p>
      <w:r>
        <w:t>L'autorisation doit en principe être refusée lorsque l'acquéreur n'est pas exploitant à titre personnel ( art. 63 al. 1 let. a LDFR ). Elle est néanmoins accordée si ce dernier prouve l'existence d'un juste motif au sens de l' art. 64 al. 1 LDFR .</w:t>
      </w:r>
    </w:p>
    <w:p>
      <w:r>
        <w:rPr>
          <w:b/>
        </w:rPr>
        <w:t>E. 4.4.1</w:t>
      </w:r>
    </w:p>
    <w:p>
      <w:r>
        <w:t>Selon la jurisprudence, l' art. 64 al. 1 LDFR contient, d'une part, aux lettres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 ATF 122 III 287 consid. 3a et 3b p. 288; arrêt 5A.22/2002 du 7 février 2003, consid. 3a et 3b publiés in RNRF 85/2004 p. 46).</w:t>
      </w:r>
    </w:p>
    <w:p>
      <w:r>
        <w:rPr>
          <w:b/>
        </w:rPr>
        <w:t>E. 4.4.2</w:t>
      </w:r>
    </w:p>
    <w:p>
      <w:r>
        <w:t>En l'espèce, se fondant sur la jurisprudence parue aux ATF 122 III 287 , les recourantes invoquent que leur opération ne soustrait rien à l'agriculture. Certes, dans cette affaire, le Tribunal fédéral s'est demandé si le simple fait que l'opération envisagée ne modifie pas l'étendue des terres à disposition de l'agriculture ne justifierait pas, par principe, une exception pour juste motif (consid. 3b). Il a toutefois laissé la question ouverte dès lors que, dans le cas particulier, l'échange projeté entraînait un accroissement important d'un terrain agricole qui devait, en définitive, être mis à disposition d'exploitants à titre personnel (consid. 3c). Plus généralement,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(consid. 3b in initio). Conformément à l' art. 64 al. 1 LDFR , seul celui qui peut démontrer matériellement un juste motif à se voir attribuer des terres agricoles alors qu'il n'est pas exploitant à titre personnel peut ainsi obtenir une dérogation.</w:t>
      </w:r>
    </w:p>
    <w:p>
      <w:r>
        <w:t>En l'occurrence, la société acquéresse n'a pas établi l'existence d'un juste motif réalisé dans sa personne ou dans les circonstances objectives. A l'appui de sa demande d'autorisation, la requérante a simplement exposé qu'une modification au sein des actionnaires de B.________ SA était prévue et que les actuels actionnaires souhaitaient conserver le "domaine" dans leur patrimoine en le transférant à A.________ SA. Invitée à fournir les listes des actionnaires des deux sociétés, elle a produit deux déclarations écrites desquelles il ressort qu'il n'y a en réalité qu'un seul actionnaire qui est propriétaire de l'entier des capital-actions des deux sociétés et qu'il ne s'agit pas d'une personne physique, mais d'une personne morale, la société anonyme D.________. Ces faits ne permettent pas d'admettre un juste motif en la personne de l'acquéreur. En effet, non seulement on ignore quels sont les actionnaires de D.________ SA, mais, comme le relève à juste titre l'intimée, les actions de A.________ SA, de même que celles de D.________ SA, sont au porteur et donc librement cessibles, alors que celles de B.________ SA ne sont transmissibles qu'avec des restrictions. Aucun des exemples de justes motifs en matière de sociétés (fusion, dissolution d'une société anonyme et reprise par l'actionnaire, reprise d'actifs et passifs selon l' art. 181 CO entre une société holding et une société fille) cités par la doctrine (Christina Schmid-Tschirren, Das bäuerliche Bodenrecht im Härtetest der Realität - Eine Analyse des aktuellen Anwendungspraxis [...], in Communications de droit agraire 31/1997 p. 170), à laquelle se réfère l'Office fédéral de la justice, ni aucun autre cas similaire, n'est réalisé en l'espèce.</w:t>
      </w:r>
    </w:p>
    <w:p>
      <w:r>
        <w:t>La requérante n'invoque pas non plus d'autres circonstances objectives qui permettraient de penser que le transfert souhaité vise à promouvoir une utilisation agricole durable, conformément au but de politique agricole de la LDFR. On relèvera à cet égard que la société propriétaire ne pensait pas pouvoir procéder sans autres formes à ce transfert dès lors qu'elle a procédé à un appel d'offres au sens de l' art. 64 al. 1 let . f LDFR et qu'elle a présenté une demande d'autorisation fondée sur cette disposition, à l'appui de laquelle elle a indiqué que la personne qui avait fait une offre n'était pas exploitante agricole.</w:t>
      </w:r>
    </w:p>
    <w:p>
      <w:r>
        <w:t>Dans ces conditions, l'autorisation d'acquérir sollicitée ne peut donc être accordée sur la base de la clause générale de juste motif de l' art. 64 al. 1 LDFR . Sur ce point l'arrêt du Tribunal administratif vaudois résiste à l'examen. Toutefois, comme cette autorité l'admet dans ses observations, c'est à tort que les conditions d'obtention d'une autorisation conformément à l' art. 64 al. 1 let . f LDFR n'ont pas été examinées.</w:t>
      </w:r>
    </w:p>
    <w:p>
      <w:r>
        <w:rPr>
          <w:b/>
        </w:rPr>
        <w:t>E. 4.5</w:t>
      </w:r>
    </w:p>
    <w:p>
      <w:r>
        <w:t>Lorsque le Tribunal fédéral annule une décision pour violation du droit public fédéral ( art. 104 let. a OJ ), il peut soit statuer lui-même sur le fond, soit renvoyer l'affaire pour nouvelle décision à l'autorité inférieure; si celle-ci a tranché sur recours, il peut renvoyer l'affaire à l'autorité qui a statué en première instance ( art. 114 al. 2 OJ ). Le renvoi à la commission foncière - ainsi que le propose également le Tribunal administratif vaudois dans ses observations - s'impose en l'espèce dès lors qu'aucune des instances cantonales n'a examiné si les conditions de l'exception de l' art. 64 al. 1 let . f LDFR étaient remplies, que les constatations de fait font défaut et qu'il n'appartient en principe pas au Tribunal fédéral de se prononcer en première instance, notamment parce que cela priverait le justiciable d'un degré de juridiction.</w:t>
      </w:r>
    </w:p>
    <w:p>
      <w:r>
        <w:rPr>
          <w:b/>
        </w:rPr>
        <w:t>E. 5</w:t>
      </w:r>
    </w:p>
    <w:p>
      <w:r>
        <w:t>Vu le sort du recours, les frais de la procédure fédérale seront mis par moitié à la charge des parties et les dépens seront compensés. La cause est renvoyée au Tribunal administratif vaudois pour qu'il modifie, s'il y a lieu, le sort des dépens de la procédure de recours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