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5A.31/2004 vom 6. Dezember 2004</w:t>
      </w:r>
    </w:p>
    <w:p>
      <w:r>
        <w:t>Bundesgericht, 2004-12-06, DE</w:t>
      </w:r>
    </w:p>
    <w:p>
      <w:r>
        <w:rPr>
          <w:b/>
        </w:rPr>
        <w:t xml:space="preserve">Quelle: </w:t>
      </w:r>
      <w:r>
        <w:t>https://mcp.opencaselaw.ch/entscheid/bger_5A.31_2004</w:t>
      </w:r>
    </w:p>
    <w:p>
      <w:r>
        <w:t>FR: TF 5A.31/2004 du 6 décembre 2004</w:t>
      </w:r>
    </w:p>
    <w:p>
      <w:r>
        <w:t>IT: TF 5A.31/2004 del 6 dicembre 2004</w:t>
      </w:r>
    </w:p>
    <w:p>
      <w:pPr>
        <w:pStyle w:val="Heading2"/>
      </w:pPr>
      <w:r>
        <w:t>Regeste</w:t>
      </w:r>
    </w:p>
    <w:p>
      <w:r>
        <w:t>erleichterte Einbürgerung | Bürgerrecht und Ausländerrecht</w:t>
      </w:r>
    </w:p>
    <w:p>
      <w:pPr>
        <w:pStyle w:val="Heading2"/>
      </w:pPr>
      <w:r>
        <w:t>Erwägungen</w:t>
      </w:r>
    </w:p>
    <w:p>
      <w:r>
        <w:rPr>
          <w:b/>
        </w:rPr>
        <w:t>E. 1</w:t>
      </w:r>
    </w:p>
    <w:p>
      <w:r>
        <w:t>Nach Art. 100 Abs. 1 lit. c OG ist die Verwaltungsgerichtsbeschwerde auf dem Gebiet des Schweizer Bürgerrechts nur ausgeschlossen, wenn es sich um die Erteilung oder Verweigerung der Bewilligung für die ordentliche Einbürgerung handelt. Daraus folgt umgekehrt, dass die Verwaltungsgerichtsbeschwerde zulässig ist, wenn es um die erleichterte Einbürgerung geht ( BGE 120 Ib 193 , nicht publizierte E. 1). Die Eingabe des Beschwerdeführers erfüllt die Formvorschriften von Art. 108 Abs. 2 OG und richtet sich gegen einen anfechtbaren Departementsentscheid ( Art. 98 lit. b OG ). Das Bundesgericht überprüft den Sachverhalt und das Bundesrecht frei (Art. 104 lit. a und b, Art. 105 Abs. 1 und Art. 114 Abs. 1 OG ; BGE 121 II 473 E. 1b S. 477).</w:t>
      </w:r>
    </w:p>
    <w:p>
      <w:r>
        <w:rPr>
          <w:b/>
        </w:rPr>
        <w:t>E. 2</w:t>
      </w:r>
    </w:p>
    <w:p>
      <w:r>
        <w:t>Gemäss Art. 27 Abs. 1 BüG kann eine Ausländerin nach der Eheschliessung mit einem Schweizer Bürger ein Gesuch um erleichterte Einbürgerung stellen, wenn sie insgesamt fünf Jahre in der Schweiz gewohnt hat, seit einem Jahr hier wohnt und seit drei Jahren in ehelicher Gemeinschaft mit dem Schweizer Bürger lebt. 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 BGE 130 II 169 E. 2.3.1).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oder eines Schweizer Bürgers die erleichterte Einbürgerung ermöglichen, um die Einheit des Bürgerrechts der Ehegatten im Hinblick auf ihre gemeinsame Zukunft zu fördern (BGE 5A.18/2004 vom 7. September 2004, E. 2 mit Hinweis).</w:t>
      </w:r>
    </w:p>
    <w:p>
      <w:r>
        <w:rPr>
          <w:b/>
        </w:rPr>
        <w:t>E. 3.1</w:t>
      </w:r>
    </w:p>
    <w:p>
      <w:r>
        <w:t>In der Bundesverwaltungsrechtspflege gilt der Grundsatz der freien Beweiswürdigung ( Art. 19 VwVG i.V.m. Art. 40 BZP ). Frei ist die Beweiswürdigung vor allem darin, dass sie nicht an bestimmte starre Beweisregeln gebunden ist, die dem Richter genau vorschreiben, wie ein gültiger Beweis zu Stande kommt und welchen Beweiswert die einzelnen Beweismittel im Verhältnis zueinander haben (Gygi, Bundesverwaltungsrechtspflege, 2. Aufl. Bern 1983, S. 278/279; zu den Beweismitteln: BGE 130 II 169 E. 2.3.2 ff.). Bestehen Zweifel, ob die Ehe im massgeblichen Zeitpunkt der Gesuchseinreichung und der Einbürgerung tatsächlich gelebt wurde, trägt die Verwaltung die Beweislast, wenn sie die Aufhebung der erleichterten Einbürgerung beabsichtigt. Im Wesentlichen geht es dabei um innere Vorgänge, die der Verwaltung oft nicht bekannt und schwierig zu beweisen sind. Sie kann sich daher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 Grund der Lebenserfahrung gezogen werden (Häfelin, Vermutungen im öffentlichen Recht, in: Festschrift für Kurt Eichenberger, Basel 1982, S. 626; vgl. auch Sutter, Die Beweislastregeln unter besonderer Berücksichtigung des verwaltungsrechtlichen Streitverfahrens, Diss. Zürich 1988, S. 56 ff., 178 ff. und Gygi, a.a.O., S. 282 ff.; Kummer, Berner Kommentar, N. 362 f. zu Art. 8 ZGB ). Als Problem der Beweiswürdigung berührt die tatsächliche Vermutung weder die Beweislast noch die das Verwaltungsverfahren beherrschende Untersuchungsmaxime. Diese gebietet zwar, dass die Verwaltung auch nach entlastenden, das heisst die Vermutung erschütternden Elementen sucht. Nun liegt es beim vorliegend zur Diskussion stehenden Thema in der Natur der Sache, dass solche der Verwaltung oft nicht bekannt sein dürften und nur der Betroffene darüber Bescheid weiss. Es ist daher Sache des Betroffenen, der nicht nur zur Mitwirkung verpflichtet ist ( Art. 13 VwVG ), sondern angesichts der gegen ihn sprechenden tatsächlichen Vermutung selber ein eminentes Interesse daran hat, die Vermutung durch den Gegenbeweis bzw. erhebliche Zweifel umzustürzen, indem er Gründe bzw. Sachumstände aufzeigt, die es als überzeugend (nachvollziehbar) erscheinen lassen, dass eine angeblich noch wenige Monate zuvor bestehende tatsächliche, ungetrennte eheliche Gemeinschaft in der Zwischenzeit dergestalt in die Brüche gegangen ist, dass es zur Scheidung kam (BGE 5A.18/2004 vom 7. September 2004, E. 3.2).</w:t>
      </w:r>
    </w:p>
    <w:p>
      <w:r>
        <w:rPr>
          <w:b/>
        </w:rPr>
        <w:t>E. 3.2</w:t>
      </w:r>
    </w:p>
    <w:p>
      <w:r>
        <w:t>Nach den Feststellungen im angefochtenen Entscheid hat der Ehemann der Beschwerdeführerin bereits drei Tage nach erfolgter Einbürgerung den Auszug aus der ehelichen Wohnung angekündigt und sich per 31. August 2003 von seinem Wohnort abgemeldet. Die Vorinstanz schloss daraus, dies lege die Vermutung nahe, dass bereits seit längerer Zeit keine tragfähige Lebensgemeinschaft mehr bestanden habe. Erfahrungsgemäss gerate eine stabile eheliche Beziehung nämlich nicht innerhalb weniger Tage derart ins Wanken, dass einer der Partner den Weg der Trennung einschlage; vielmehr gehe dem in aller Regel ein längerer Entwicklungsprozess voraus. Der Rechtsvertreter der Beschwerdeführerin habe ausgeführt, die vorübergehende Trennung sei die Folge einer Entwicklung gewesen, die sich anfangs August 2003 abgezeichnet habe. Ab diesem Zeitpunkt habe ihr Ehemann sexuelle Neigungen gezeigt, mit denen sie nicht zurecht gekommen sei. Es sei zwar schwer nachzuvollziehen, dass derartige Probleme erst nach rund vierjähriger Ehe aufgetreten, dann aber binnen drei Wochen zum Auszug des Ehemannes geführt haben sollen. Die Tatsache, dass die sich seit anfangs August 2003 abzeichnenden Eheprobleme zur Trennung geführt hätten, bedeute jedenfalls, dass vor dem Zeitpunkt der Einbürgerung keine stabile eheliche Gemeinschaft mehr bestanden habe.</w:t>
      </w:r>
    </w:p>
    <w:p>
      <w:r>
        <w:rPr>
          <w:b/>
        </w:rPr>
        <w:t>E. 3.3</w:t>
      </w:r>
    </w:p>
    <w:p>
      <w:r>
        <w:t>Die Beschwerdeführerin erhebt dagegen folgende Einwände: Die Ehegatten hätten sich nach kurzer Zeit - nach bloss wenigen Wochen - wieder zusammengefunden. Tatsachenwidrig sei die Behauptung des EJPD, die Ehegatten X.________ und A.________ seien erst nach mehr als fünfmonatiger Trennungszeit im Februar 2004 wieder zusammengezogen. Der Ehemann und die Beschwerdeführerin könnten bestätigen, dass sie auch während der Wohnsitznahme der Beschwerdeführerin in Strengelbach (1. September 2003 bis 31. Dezember 2003) regelmässig zusammen gewesen seien. Auch habe der Ehemann im Nachhinein sinngemäss ausgeführt, sein Auszug sei eine Kurzschlusshandlung gewesen. Die Erfahrung lehre doch gerade, dass Ehegatten, bei denen eine äusserst kurze Trennung vorgekommen sei, eine starke Bindung hätten; dieser Aspekt sei bei der Beurteilung des Ehewillens im Zeitpunkt des Einbürgerungsentscheides mit einzubeziehen. Dieser Einwand geht von vornherein fehl, denn massgeblich ist nach der bundesgerichtlichen Rechtsprechung (E. 2 hiervor), dass eine tatsächliche Ehegemeinschaft im Zeitpunkt des Gesuchs um erleichterte Einbürgerung (vorliegend: am 10. Dezember 2002) wie in demjenigen des Erhalts des Schweizer Bürgerrechts (vorliegend: 19. August 2003) gegeben war. Die behauptete Versöhnung fand nachher statt und ist deshalb nicht von Belang. Die Beschwerdeführerin gibt ja selbst zu, dass der nachfolgende Auszug des Ehemannes ein Indiz dafür sei, dass der wirkliche Ehewille nicht vorhanden gewesen sei.</w:t>
      </w:r>
    </w:p>
    <w:p>
      <w:r>
        <w:rPr>
          <w:b/>
        </w:rPr>
        <w:t>E. 3.4</w:t>
      </w:r>
    </w:p>
    <w:p>
      <w:r>
        <w:t>Die Eckdaten und namentlich die Ende August 2003 erfolgte Trennung lassen vermuten, dass die Ehe am 19. August 2003 nicht mehr stabil war, als die erleichterte Einbürgerung bewilligt wurde. Die Beschwerdeführerin versucht, die Vermutung mit der Behauptung umzustossen, anfangs August sexuelle Neigungen ihres Ehemannes entdeckt zu haben, mit denen sie nicht klar gekommen sei. Dies habe sie zum Anlass genommen, den gemeinsamen Haushalt zu verlassen. Damit kann die Vermutung jedoch nicht umgestossen werden. Vielmehr wird damit belegt, dass die eheliche Gemeinschaft im Zeitpunkt der Einbürgerung nicht (mehr) intakt war und insoweit die erleichterte Einbürgerung erschlichen wurde. Bei dieser Sachlage kommt es nicht darauf an, ob die Eheleute inzwischen wieder zusammengezogen sind, was die Vorinstanz in Abrede gestellt hat und die Beschwerdeführerin - nicht sehr überzeugend - behauptet.</w:t>
      </w:r>
    </w:p>
    <w:p>
      <w:r>
        <w:rPr>
          <w:b/>
        </w:rPr>
        <w:t>E. 4</w:t>
      </w:r>
    </w:p>
    <w:p>
      <w:r>
        <w:t>Demzufolge ist die Verwaltungsgerichtsbeschwerde abzuweisen. Bei diesem Ausgang des Verfahrens wird die Beschwerdeführerin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