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5A.24/2004 vom 2. Dezember 2004</w:t>
      </w:r>
    </w:p>
    <w:p>
      <w:r>
        <w:t>Bundesgericht, 2004-12-02, FR</w:t>
      </w:r>
    </w:p>
    <w:p>
      <w:r>
        <w:rPr>
          <w:b/>
        </w:rPr>
        <w:t xml:space="preserve">Quelle: </w:t>
      </w:r>
      <w:r>
        <w:t>https://mcp.opencaselaw.ch/entscheid/bger_5A.24_2004</w:t>
      </w:r>
    </w:p>
    <w:p>
      <w:r>
        <w:t>FR: TF 5A.24/2004 du 2 décembre 2004</w:t>
      </w:r>
    </w:p>
    <w:p>
      <w:r>
        <w:t>IT: TF 5A.24/2004 del 2 dicembre 2004</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librement la recevabilité des recours qui lui sont soumis ( ATF 130 II 65 consid. 1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 5A.7/2003 du 25 août 2003 consid. 1.1; 5A.29/2002 du 27 mars 2003 consid. 1; 5A.23/2001 du 11 février 2002 consid. 1 non publié aux ATF 128 II 97 ; cf. aussi ATF 105 Ib 154 consid. 1 p. 156). Le recourant a en outre manifestement qualité pour recourir ( art. 103 let. a OJ ). Déposé en temps utile et dans les formes requises, le présent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Le Tribunal fédéral revoit au demeurant d'office ces constatations ( art. 105 al. 1 OJ ), qui ne le lient pas, dès lors que le recours n'est pas dirigé contre une décision prise par une autorité judiciaire ( art. 105 al. 2 OJ ).</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w:t>
      </w:r>
    </w:p>
    <w:p>
      <w:r>
        <w:rPr>
          <w:b/>
        </w:rPr>
        <w:t>E. 2.2</w:t>
      </w:r>
    </w:p>
    <w:p>
      <w:r>
        <w:t>L'office fédéral compétent (IMES) peut, avec l'assentiment du ou des cantons d'origine, annuler dans les cinq ans la naturalisation facilitée obtenue par des déclarations mensongères ou par la dissimulation de faits essentiels ( art. 41 al. 1 LN ; art. 14 al. 1 de l'Ordonnance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c'est-à-dire par un comportement déloyal et trompeur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5A.13/2004 du 16 juillet 2004 consid. 2.2; 5A.7/2003 du 25 août 2003, consid. 3.2). Aux termes de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664 consid. 6.1 p. 670; 123 III 274 consid. 1 a/cc p. 279/280).</w:t>
      </w:r>
    </w:p>
    <w:p>
      <w:r>
        <w:rPr>
          <w:b/>
        </w:rPr>
        <w:t>E. 2.3</w:t>
      </w:r>
    </w:p>
    <w:p>
      <w:r>
        <w:t>En ce qui concerne l'établissement des faits, la maxime inquisitoire prévalant en procédure administrative ( art. 12 PA ), il appartient à l'autorité compétente, d'une part, de définir et d'établir les faits qu'elle considère comme pertinents en vue d'une application correcte de la loi, d'autre part, d'ordonner les preuves nécessaires, qu'elle apprécie librement, le cas échéant par anticipation (cf. Pierre Moor, Droit administratif, vol. II, 2e éd., p. 258 ss n. 2.2.6.3 s.; Blaise Knapp, Précis de droit administratif, 4e éd., 668ter ss, 2018 ss). Toutefois, le principe de l'instruction d'office n'étant pas absolu (cf. art. 13 PA ), la personne naturalisée qui conteste l'annulation subséquente de sa naturalisation se doit, de son côté, de collaborer à l'établissement des faits dans la mesure où sa démarche est entreprise dans son propre intérêt et se fonde sur des faits qui ont trait spécifiquement à sa situation personnelle et qu'il est mieux à même de connaître (Moor, op. cit., p. 260); si elle ne parvient pas à prouver un fait à son avantage ou à en rendre l'existence très vraisemblable, elle doit donc en supporter les conséquences (Moor, op. cit., p. 263; Knapp, op. cit., n. 668quater et 2021). Dans un arrêt récent relatif à l'annulation d'une naturalisation facilitée, le Tribunal fédéral a jugé qu'il est admissible de se fonder sur des présomptions et que, si l'enchaînement des événements fonde la présomption de fait que la naturalisation a été obtenue frauduleusement, il incombe à l'intéressé de renverser cette présomption en apportant la contre-preuve ( ATF 130 II 482 consid. 3.2 et 3.3).</w:t>
      </w:r>
    </w:p>
    <w:p>
      <w:r>
        <w:rPr>
          <w:b/>
        </w:rPr>
        <w:t>E. 3</w:t>
      </w:r>
    </w:p>
    <w:p>
      <w:r>
        <w:t>Un examen chronologique des faits pertinents de la cause a conduit le département intimé à douter que, par son mariage avec E.________, le recourant ait véritablement entendu fonder une communauté conjugale au sens de l' art. 27 LN ; la succession rapide de ses mariages et divorces était symptomatique à cet égard et donnait à penser que par ledit mariage il cherchait avant tout à obtenir une autorisation de séjour en Suisse et, ultérieurement, la naturalisation facilitée; en tout état de cause, l'on était en droit de conclure, sur la base de l'enchaînement chronologique des faits, que les époux A.________-E.________ ne constituaient pas, au moment de la signature de leur déclaration commune et de la naturalisation facilitée, une communauté conjugale au sens de l' art. 27 LN . Cette conviction du département était renforcée par divers éléments ressortant de l'audition de E.________: celle-ci n'accompagnait pas régulièrement son époux lors de ses vacances annuelles en Turquie auprès de son ex-épouse et de leurs enfants communs; elle restait convaincue que, durant ses vacances turques, son époux avait des relations intimes avec son ex-femme et elle était totalement délaissée lorsque cette dernière et les enfants se rendaient en vacances en Suisse auprès du recourant; tous ces éléments, selon le département, démontraient que, nonobstant son mariage avec une Suissesse, le recourant entretenait une relation privilégiée avec sa première épouse, avec laquelle il s'était d'ailleurs remarié sitôt après son divorce d'avec la Suissesse.</w:t>
      </w:r>
    </w:p>
    <w:p>
      <w:r>
        <w:rPr>
          <w:b/>
        </w:rPr>
        <w:t>E. 4.1</w:t>
      </w:r>
    </w:p>
    <w:p>
      <w:r>
        <w:t>Le recourant soutient qu'il ne remplit pas les conditions de l' art. 41 al. 1 LN . Il n'aurait rien planifié et conteste avoir trompé l'autorité; son histoire serait une succession de hasards. Il souligne notamment qu'il a fait la connaissance de E.________ en 1991, qu'il a eu des contacts avec elle de 1991 à 1994, qu'il a appris à l'aimer, qu'il a eu de très bons contacts avec sa belle-famille en Suisse et que son mariage a été une période très heureuse. Le recourant se prévaut en particulier de ce que, le 19 janvier 1999, il a eu un accident de voiture qui lui aurait fait perdre sa place de travail et l'aurait rendu incapable de travailler. Son épouse aurait alors demandé le divorce parce qu'elle ne voulait pas de difficultés, notamment financières. E.________ a confirmé cette version dans un courrier du 17 février 2003, dont il ressort ce qui suit (traduction): "J'aimerais prendre position à propos de l'affirmation selon laquelle mon mari et moi n'auraient pas vécu un vrai mariage stable du 24 novembre 1994 jusqu'en avril 1999. Cette affirmation est fausse, pendant toutes ces années, nous avons vécu ensemble, nous sommes sortis avec des collègues ainsi qu'avec mes frères et soeurs; nous avons aussi régulièrement mangé chez nos parents avec lesquels nous avons joué au jass. Lors de mon audition par la police à Y.________ on m'a demandé si mon ex-mari (à l'époque mon mari) entretenait des relations intimes avec sa première épouse. J'ai répondu oui. Toutefois, il ne l'a jamais admis en répondant "oui", il disait simplement que c'était mon opinion personnelle et a laissé la question sans réponse. Ce n'était pas un problème pour moi, ce qui me préoccupait, c'était les finances du ménage. Après environ une année de mariage, nous avons déménagé dans un plus grand appartement qui coûtait 400 fr. de plus. J'ai moi-même payé le loyer et j'ai seule entretenu le ménage et j'ai payé les impôts. Ainsi, mes réserves ont fondu et les fins de mois devenaient de plus en plus difficiles, parfois je ne savais plus quoi faire. Là-dessus s'est greffé l'accident de voiture de mon mari qui, à cette occasion, a subi le coup du lapin (Schleudertrauma) et j'ai pris conscience qu'il ne travaillerait plus pendant un certain laps de temps. La situation financière me pesait énormément, j'étais au bout de mes forces autant du point de vue économique que psychique et physique. ...".</w:t>
      </w:r>
    </w:p>
    <w:p>
      <w:r>
        <w:rPr>
          <w:b/>
        </w:rPr>
        <w:t>E. 4.2</w:t>
      </w:r>
    </w:p>
    <w:p>
      <w:r>
        <w:t>Il importe peu que le mariage du recourant avec l'épouse suisse se soit déroulé de manière harmonieuse (supra, consid. 2.2) et que ce soit celle-ci, et non pas lui, qui ait demandé le divorce (arrêt 5A.7/2003 du 25 août 2003, consid. 4.2.2). Par ailleurs, la différence d'âges entre époux (5 ans), relativement faible par rapport aux cas similaires déjà jugés (34 ans dans la cause publiée in ATF 128 II 97 , 30 ans dans la cause 5A.7/2003 du 25 août 2003, 24 ans dans la cause 5A.13/2004 du 16 juillet 2004, 26 ans dans la cause publiée in ATF 130 II 482 , 17 ans dans la cause 5A.23/2004 du 1er novembre 2004) n'est pas en soi un critère déterminant au regard de la loi et de la jurisprudence. Ce qui est décisif, c'est qu'au moment de sa naturalisation facilitée, l'intéressé ait déclaré former une union stable avec son conjoint, alors qu'il envisageait de divorcer ultérieurement, une fois obtenue la nationalisation facilitée. De la succession rapide des événements (refus de l'asile en 1987/1988, naissance du deuxième enfant en 1991, divorce en Turquie en octobre 1994, mariage avec une suissesse le mois suivant, suivi aussitôt de l'installation en Suisse, naturalisation facilitée demandée en juillet 1997 et obtenue en mai 1998, divorce d'avec l'épouse suisse prononcé en Turquie en avril 1999, arrivée de la famille turque en Suisse en juin 1999, remariage avec la première épouse en octobre 1999), ainsi que des autres éléments de la cause comme la présence de l'ex-épouse turque au domicile conjugal deux mois par an et la relégation au second rang de l'épouse légitime, vivant avec le soupçon que son mari entretenait une relation extra-conjugale, le département intimé était en droit de conclure que les époux A.________-E.________ ne constituaient pas, au moment de la signature de la déclaration commune et de la décision de naturalisation facilitée, une communauté conjugale au sens de l' art. 27 LN . Pour le département, les circonstances de l'accident de circulation du 19 janvier 1999 et ses conséquences (forte dépression et diminution importante de la capacité de travail du recourant), au sujet desquelles aucun moyen de preuve n'avait d'ailleurs été proposé, ne pouvaient avoir subitement mis fin à la volonté des époux de maintenir leur communauté conjugale comme ceux-ci le prétendaient. A son avis, le fait que les problèmes conjugaux rencontrés par le couple, problèmes qui étaient mineurs, aient entraîné le divorce trois mois plus tard démontrait au contraire à satisfaction que la communauté conjugale vécue par les intéressés ne présentait pas l'intensité et la stabilité requises durant les mois qui avaient précédé la décision de naturalisation facilitée et, partant, le 25 mai 1998, lors de la signature de leur déclaration commune.</w:t>
      </w:r>
    </w:p>
    <w:p>
      <w:r>
        <w:rPr>
          <w:b/>
        </w:rPr>
        <w:t>E. 4.3</w:t>
      </w:r>
    </w:p>
    <w:p>
      <w:r>
        <w:t>Le certificat médical produit à l'appui du recours administratif auprès du département intimé afin, selon le recourant, d'établir les "conséquences tragiques" de l'accident du 19 janvier 1999 à l'origine du problème financier "entièrement à la base du divorce", atteste simplement que l'intéressé a été traité dès le 20 janvier 1999 "pour un épisode dépressif réactionnel", sans plus ample explication et sans référence aucune à l'accident en question. Le dossier ne contient par ailleurs aucune pièce concernant cet événement. Alors qu'il avait, par son conseil, expressément autorisé l'office fédéral des étrangers à consulter son dossier relatif audit accident auprès de la SUVA, le recourant n'a pas du tout fait état de ce dossier devant le département intimé, ni surtout reproché à l'office précité une quelconque insuffisance dans l'établissement des faits en relation avec les éléments dudit dossier. Au demeurant, il lui eût appartenu, en vertu de son devoir de collaboration, de produire spontanément le dossier en question (cf. consid. 2.3). Pour le surplus, le recourant ne conteste pas sérieusement les constatations selon lesquelles son épouse suisse a - à tort ou à raison - toléré la présence de l'ex-épouse turque au domicile conjugal pendant deux mois par année, tout en étant reléguée au second rang et vivant avec le soupçon que son mari entretenait une relation extra-conjugale. Or de telles constatations permettent indubitablement de renforcer la conviction que, avant déjà l'accident de janvier 1999, soit au moment de la naturalisation facilitée, il n'existait pas une véritable communauté conjugale au sens de l' art. 27 LN . Ainsi, à défaut de contre-preuve apportée par le recourant, il y a lieu de s'en tenir à la présomption de fait, fondée sur l'enchaînement des événements, que la naturalisation facilitée a été obtenue, dans le cas particulier, de façon frauduleuse.</w:t>
      </w:r>
    </w:p>
    <w:p>
      <w:r>
        <w:rPr>
          <w:b/>
        </w:rPr>
        <w:t>E. 5</w:t>
      </w:r>
    </w:p>
    <w:p>
      <w:r>
        <w:t>Il résulte de ce qui précède que le recours doit être rejeté. Le recours n'étant pas apparu de prime abord comme dépourvu de toute chance de succès ( art. 152 al. 1 OJ ), il y a lieu d'accorder au recourant dans le besoin l'assistance judiciaire qu'il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