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5A.23/2004 vom 1. November 2004</w:t>
      </w:r>
    </w:p>
    <w:p>
      <w:r>
        <w:t>Bundesgericht, 2004-11-01, DE</w:t>
      </w:r>
    </w:p>
    <w:p>
      <w:r>
        <w:rPr>
          <w:b/>
        </w:rPr>
        <w:t xml:space="preserve">Quelle: </w:t>
      </w:r>
      <w:r>
        <w:t>https://mcp.opencaselaw.ch/entscheid/bger_5A.23_2004</w:t>
      </w:r>
    </w:p>
    <w:p>
      <w:r>
        <w:t>FR: TF 5A.23/2004 du 1 novembre 2004</w:t>
      </w:r>
    </w:p>
    <w:p>
      <w:r>
        <w:t>IT: TF 5A.23/2004 del 1 novembre 2004</w:t>
      </w:r>
    </w:p>
    <w:p>
      <w:pPr>
        <w:pStyle w:val="Heading2"/>
      </w:pPr>
      <w:r>
        <w:t>Regeste</w:t>
      </w:r>
    </w:p>
    <w:p>
      <w:r>
        <w:t>Bürgerrecht und Ausländerrecht</w:t>
      </w:r>
    </w:p>
    <w:p>
      <w:pPr>
        <w:pStyle w:val="Heading2"/>
      </w:pPr>
      <w:r>
        <w:t>Erwägungen</w:t>
      </w:r>
    </w:p>
    <w:p>
      <w:r>
        <w:rPr>
          <w:b/>
        </w:rPr>
        <w:t>E. 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5A.5/1997 vom 21. Mai 1997, E. 2b; BGE 5A.18/2004 vom 7. September 2004, E. 2).</w:t>
      </w:r>
    </w:p>
    <w:p>
      <w:r>
        <w:rPr>
          <w:b/>
        </w:rPr>
        <w:t>E. 2.1</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(Gygi, Bundesverwaltungsrechtspflege, 2. Aufl. Bern 1983, S. 278/279; zu den Beweismitteln: BGE 130 II 169 E. 2.3.2 ff.). Für eine belastende Verfügung - wie hier - trägt die Verwaltung die Beweislast. 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(Häfelin, Vermutungen im öffentlichen Recht, in: Festschrift für Kurt Eichenberger, Basel 1982, S. 626; vgl. auch Sutter, Die Beweislastregeln unter besonderer Berücksichtigung des verwaltungsrechtlichen Streitverfahrens, Diss. Zürich 1988, S. 56 ff., 178 ff. und Gygi, a.a.O., S. 282 ff.; Kummer, Berner Kommentar, N. 362 f. zu Art. 8 ZGB ). Als Problem der Beweiswürdigung berührt die tatsächliche Vermutung weder die Beweislast noch die das Verwaltungsverfahren beherrschende Untersuchungsmaxime. Diese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5A.18/2004 vom 7. September 2004, E. 3.2).</w:t>
      </w:r>
    </w:p>
    <w:p>
      <w:r>
        <w:rPr>
          <w:b/>
        </w:rPr>
        <w:t>E. 2.2</w:t>
      </w:r>
    </w:p>
    <w:p>
      <w:r>
        <w:t>Nach dem angefochtenen Entscheid gelangte der Beschwerdeführer im Juni 1988 in die Schweiz, wo sein Asylgesuch am 29. April 1991 abgewiesen wurde, und er in der Folge am 25. Juli 1991 eine um 17 Jahre ältere Schweizer Bürgerin heiratete. Am 23. April 1996 kam das vierte mit der Mutter der drei ersten Kinder gezeugte Kind zur Welt, wovon die Schweizer Ehefrau während der Ehe nichts erfuhr. Am 3. März 1998 erfolgte die erleichterte Einbürgerung des Beschwerdeführers und seiner drei Kinder aus einer Beziehung mit einer türkischen Staatsangehörigen. Rund ein Jahr später, am 22. April 1999, beantragte die Schweizer Ehefrau die Scheidung der Ehe, welche am 17. Juni 1999 ausgesprochen wurde. Am 31. Mai 1999 verlor der Beschwerdeführer seine Arbeitsstelle im Wallis, worauf er am 26. Juli 1999 die Ehe mit der Mutter seiner vier Kinder einging und im August 1999 schliesslich eine neue Stelle in der Ostschweiz antrat. Bei näherer Betrachtung der vorgenannten Eckdaten fällt auf, dass nur rund zwei Jahre vor der Einbürgerung ein viertes aussereheliches, mit der türkischen Partnerin gezeugtes Kind des Beschwerdeführers zur Welt gekommen war, die Schweizer Ehefrau nur rund ein Jahr nach der Einbürgerung die Scheidung beantragte und der Beschwerdeführer nur wenige Wochen nach der Scheidung die Mutter seiner vier Kinder heiratete. Diese konkreten Umstände begründen die tatsächliche Vermutung, dass der Beschwerdeführer und seine Schweizer Ehefrau im Zeitpunkt der Einbürgerung nicht mehr in einer stabilen ehelichen Gemeinschaft lebten und infolgedessen die gut ein Jahr vor Einreichung der Scheidungsklage erlangte Einbürgerung erschlichen wurde. Daran ändert nichts, dass der Beschwerdeführer der Schweizer Ehefrau die Geburt des vierten Kindes verheimlicht hatte und sie nachgewiesenermassen erst nach der Scheidung davon erfuhr.</w:t>
      </w:r>
    </w:p>
    <w:p>
      <w:r>
        <w:rPr>
          <w:b/>
        </w:rPr>
        <w:t>E. 2.3</w:t>
      </w:r>
    </w:p>
    <w:p>
      <w:r>
        <w:t>Was der Beschwerdeführer gegen die tatsächliche Vermutung vorbringt, vermag daran keine Zweifel zu wecken. Seiner Ansicht nach ist der Bruch der ehelichen Gemeinschaft auf einen Streit mit seinem Sohn wegen eines eingelösten Fahrzeuges, auf den drohenden Verlust des Arbeitsplatzes im Wallis sowie auf die Tatsache zurückzuführen, dass seine Schweizer Ehefrau nicht habe in die Ostschweiz ziehen wollen. Diese Vorbringen lassen es indessen nicht als überzeugend (nachvollziehbar) erscheinen, dass eine angeblich im Frühjahr 1998 noch intakte eheliche Gemeinschaft deswegen endgültig auseinander brach. Die Beschwerde erweist sich mithin als unbegründet.</w:t>
      </w:r>
    </w:p>
    <w:p>
      <w:r>
        <w:rPr>
          <w:b/>
        </w:rPr>
        <w:t>E. 3</w:t>
      </w:r>
    </w:p>
    <w:p>
      <w:r>
        <w:t>Der Beschwerdeführer ersucht darum, dass seine drei Kinder von einem allfälligen Widerruf der erleichterten Einbürgerung ausgenommen werden, weil sie inzwischen in der Schweiz integriert seien. Da das Schweizerbürgerrecht der drei Kinder auf der nichtig erklärten Einbürgerung des Beschwerdeführers beruht, erstreckt sich die Nichtigkeit der Einbürgerung auch auf die Kinder, zumal vom BFA nichts anderes verfügt worden ist ( Art. 41 Abs. 3 BüG ) und der Beschwerdeführer auch nicht geltend macht, in den vorinstanzlichen Verfahren ein solches Gesuch gestellt zu haben. Insoweit hat der Beschwerdeführer keine Gesetzesverletzung dargetan. Es bleibt den Kindern unbenommen, zum gegebenen Zeitpunkt ein eigenes Einbürgerungsgesuch zu stellen.</w:t>
      </w:r>
    </w:p>
    <w:p>
      <w:r>
        <w:rPr>
          <w:b/>
        </w:rPr>
        <w:t>E. 4</w:t>
      </w:r>
    </w:p>
    <w:p>
      <w:r>
        <w:t>Die Verwaltungsgerichtsbeschwerde ist demnach abzuweisen. Bei diesem Verfahrensausgang wird der Beschwerdeführer kostenpflichtig ( Art. 156 Abs. 1 OG ). Nach den Erwägungen hat sich die Verwaltungsgerichtsbeschwerde von Anfang an als aussichtslos erwiesen; dem Gesuch des Beschwerdeführers um unentgeltliche Rechtspflege kann somit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