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5A.18/2004 vom 7. September 2004</w:t>
      </w:r>
    </w:p>
    <w:p>
      <w:r>
        <w:t>Bundesgericht, 2004-09-07, DE</w:t>
      </w:r>
    </w:p>
    <w:p>
      <w:r>
        <w:rPr>
          <w:b/>
        </w:rPr>
        <w:t xml:space="preserve">Quelle: </w:t>
      </w:r>
      <w:r>
        <w:t>https://mcp.opencaselaw.ch/entscheid/bger_5A.18_2004</w:t>
      </w:r>
    </w:p>
    <w:p>
      <w:r>
        <w:t>FR: TF 5A.18/2004 du 7 septembre 2004</w:t>
      </w:r>
    </w:p>
    <w:p>
      <w:r>
        <w:t>IT: TF 5A.18/2004 del 7 settembre 2004</w:t>
      </w:r>
    </w:p>
    <w:p>
      <w:pPr>
        <w:pStyle w:val="Heading2"/>
      </w:pPr>
      <w:r>
        <w:t>Erwägungen</w:t>
      </w:r>
    </w:p>
    <w:p>
      <w:r>
        <w:rPr>
          <w:b/>
        </w:rPr>
        <w:t>E. 1.1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1.2</w:t>
      </w:r>
    </w:p>
    <w:p>
      <w:r>
        <w:t>Unzulässig ist der Antrag des Beschwerdeführers, die Verfügung des IMES vom 19. August 2003 aufzuheben, denn Anfechtungsobjekt bildet einzig der Entscheid des EJPD ( Art. 98 lit. b OG ).</w:t>
      </w:r>
    </w:p>
    <w:p>
      <w:r>
        <w:rPr>
          <w:b/>
        </w:rPr>
        <w:t>E. 1.3</w:t>
      </w:r>
    </w:p>
    <w:p>
      <w:r>
        <w:t>Insoweit der Beschwerdeführer auf die Beschwerdeschrift vom 17. September 2003 seines vormaligen Rechtsvertreters hinweist, kann darauf nicht eingetreten werden. Denn die Begründung muss in der Verwaltungsgerichtsbeschwerde selbst enthalten sein ( Art. 108 Abs. 2 OG ; BGE 129 II 401 E. 3.2 S. 406 mit Hinweis).</w:t>
      </w:r>
    </w:p>
    <w:p>
      <w:r>
        <w:rPr>
          <w:b/>
        </w:rPr>
        <w:t>E. 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128 II 97 E. 3a).</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des Bundesgerichts 5A.5/ 1997 vom 21. Mai 1997, E. 2b).</w:t>
      </w:r>
    </w:p>
    <w:p>
      <w:r>
        <w:rPr>
          <w:b/>
        </w:rPr>
        <w:t>E. 3.1</w:t>
      </w:r>
    </w:p>
    <w:p>
      <w:r>
        <w:t>Das Bundesamt für Zuwanderung, Integration und Auswanderung (IMES) hat am 19. August 2003 die erleichterte Einbürgerung des Beschwerdeführers vom 2. September 1998 für nichtig erklärt. Es hat sich dabei insbesondere auf die Scheidungsakten und die Befragung der Ex-Ehefrau vom 11. Oktober 2002 abgestützt und im Weiteren bei der früheren Arbeitgeberin des Beschwerdeführers die Gründe für die Auflösung des Arbeitsverhältnisses abgeklärt.</w:t>
      </w:r>
    </w:p>
    <w:p>
      <w:r>
        <w:t>Das EJPD hat diese tatbeständlichen Grundlagen in seinem Entscheid übernommen und auf Grund der Einwände des Beschwerdeführers in seiner Verwaltungsbeschwerde sich seinerseits nochmals sehr ausführlich damit auseinander gesetzt. Es ist auf Grund der gesamten Umstände davon ausgegangen, dass der Beschwerdeführer durch ein planmässiges Vorgehen das Schweizer Bürgerrecht erschlichen habe und es ihm von allem Anfang an nicht darum gegangen sei, mit Y.________ eine eheliche Gemeinschaft im Sinne von Art. 27 Abs. 1 BüG einzugehen. Dafür sprächen - wie bereits erwähnt - der grosse Altersunterschied zwischen den Ehegatten, die Umstände der Eheschliessung, das Verschweigen der beiden vorehelichen Kinder sowie auch der wahren Beziehung zur türkischen Mutter dieser Kinder, die Umstände der Kündigung und der nachfolgenden Suche einer Arbeitsstelle möglichst weit weg vom gemeinsamen Wohnort, und sodann die Scheidung von der Schweizer Ehefrau am 4. Mai 1999 sowie die anfangs Juli 1999 in der Türkei eingegangene Ehe mit der Mutter seiner Kinder. Gestützt auf diese Ereigniskette müsse sich der Beschwerdeführer entgegenhalten lassen, dass er die Erklärung über die eheliche Gemeinschaft am 6. September 1997 wider besseres Wissen unterzeichnet habe. Durch das gezielte Irreführen der Schweizer Ehefrau und der Einbürgerungsbehörden habe der Beschwerdeführer den Tatbestand des Rechtsmissbrauchs erfüllt. Auch habe er das Institut der Ehe zweckwidrig zur Verwirklichung von Interessen verwendet, die dieses Rechtsinstitut nicht schützen wolle (vgl. BGE 127 II 49 E. 5a zu Art. 7 ANAG [SR 142.20]).</w:t>
      </w:r>
    </w:p>
    <w:p>
      <w:r>
        <w:rPr>
          <w:b/>
        </w:rPr>
        <w:t>E. 3.2</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(Ulrich Häfelin, Vermutungen im öffentlichen Recht, in: Festschrift für Kurt Eichenberger, Basel 1982, S. 626; vgl. auch Peter Sutter, Die Beweislastregeln unter besonderer Berücksichtigung des verwaltungsrechtlichen Streitverfahrens, Diss. Zürich 1988, S. 56 ff., 178 ff. und Fritz Gygi, a.a.O., S. 282 ff.; Max Kummer, Berner Kommentar, N. 362 f. zu Art. 8 ZGB ).</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w:t>
      </w:r>
    </w:p>
    <w:p>
      <w:r>
        <w:rPr>
          <w:b/>
        </w:rPr>
        <w:t>E. 3.3</w:t>
      </w:r>
    </w:p>
    <w:p>
      <w:r>
        <w:t>Bis zur Einreise am 3. Juli 1989 in die Schweiz lebte der Beschwerdeführer mit einer türkischen Frau zusammen, mit der er zwei Kinder gezeugt hat. Nach rechtskräftigem Abschluss des Asylverfahrens wurde er aufgefordert, die Schweiz bis zum 30. November 1992 zu verlassen. Stattdessen meldete er im November 1992 das Eheversprechen mit einer um 26 Jahre älteren Schweizer Bürgerin an. Die Heirat erfolgte am 22. Januar 1993. Am 6. September 1997 unterschrieb der Beschwerdeführer eine Erklärung, wonach er und seine Schweizer Ehefrau in einer stabilen ehelichen Gemeinschaft lebten. Das Schweizer Bürgerrecht wurde dem Beschwerdeführer am 2. September 1998 verliehen und am 1. März 1999 unterzeichnete er mit seiner Schweizer Ehefrau die Vereinbarung zur Auflösung des Haushaltes und der Ehe, worauf am 4. Mai 1999 die Scheidung ausgesprochen wurde. Am 6. Juli 1999 verheiratete sich der Beschwerdeführer mit seiner früheren Lebensgefährtin.</w:t>
      </w:r>
    </w:p>
    <w:p>
      <w:r>
        <w:t>Allein auf Grund dieser Eckdaten besteht die Vermutung, dass der Beschwerdeführer und seine Ehefrau im fraglichen Zeitpunkt nicht (mehr) in einer stabilen ehelichen Gemeinschaft lebten und infolgedessen die unmittelbar vor der Scheidung und Wiederverheiratung erlangte erleichterte Einbürgerung erschlichen wurde. Der Beschwerdeführer bringt in seiner Beschwerde in der Hauptsache vor, die Ehe sei auf Grund der wirtschaftlichen Probleme nach der Kündigung (Januar 1999) gescheitert. Er sei deswegen psychisch angeschlagen und, bedingt durch die Stellensuche, häufig abwesend gewesen. Es ist nicht von der Hand zu weisen, dass wirtschaftlich angespannte Verhältnisse Ehen gefährden können. Hier geht es aber darum, ob nachvollziehbar ist, dass eine bis zum Januar 1999 angeblich intakte Ehe infolge der Kündigung der Arbeitsstelle innert nicht einmal ganz zweier Monate derart zerrüttet wurde, dass die Ehegatten eine Scheidungsvereinbarung unterzeichneten. Das ist nach der allgemeinen Lebenserfahrung zu verneinen, weshalb der Beschwerdeführer die tatsächliche Vermutung nicht umzustossen vermag. Eine Auseinandersetzung mit den weiteren Vorbringen des Beschwerdeführers, insbesondere dass die Ehe mit der Schweizer Ehefrau trotz seiner Ferienaufenthalte in der Türkei bis zur Ehescheidung intensiv gelebt worden sei, erübrigt sich daher.</w:t>
      </w:r>
    </w:p>
    <w:p>
      <w:r>
        <w:rPr>
          <w:b/>
        </w:rPr>
        <w:t>E. 4</w:t>
      </w:r>
    </w:p>
    <w:p>
      <w:r>
        <w:t>Die Verwaltungsgerichtsbeschwerde muss nach dem Ausgeführten abgewiesen werden, soweit darauf eingetreten werden kann.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