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5A.15/2001 vom 6. Dezember 2001</w:t>
      </w:r>
    </w:p>
    <w:p>
      <w:r>
        <w:t>Bundesgericht, 2001-12-06, DE</w:t>
      </w:r>
    </w:p>
    <w:p>
      <w:r>
        <w:rPr>
          <w:b/>
        </w:rPr>
        <w:t xml:space="preserve">Quelle: </w:t>
      </w:r>
      <w:r>
        <w:t>https://mcp.opencaselaw.ch/entscheid/bger_5A.15_2001</w:t>
      </w:r>
    </w:p>
    <w:p>
      <w:r>
        <w:t>FR: TF 5A.15/2001 du 6 décembre 2001</w:t>
      </w:r>
    </w:p>
    <w:p>
      <w:r>
        <w:t>IT: TF 5A.15/2001 del 6 dicembre 2001</w:t>
      </w:r>
    </w:p>
    <w:p>
      <w:pPr>
        <w:pStyle w:val="Heading2"/>
      </w:pPr>
      <w:r>
        <w:t>Regeste</w:t>
      </w:r>
    </w:p>
    <w:p>
      <w:r>
        <w:t>Familienrecht</w:t>
      </w:r>
    </w:p>
    <w:p>
      <w:pPr>
        <w:pStyle w:val="Heading2"/>
      </w:pPr>
      <w:r>
        <w:t>Erwägungen</w:t>
      </w:r>
    </w:p>
    <w:p>
      <w:r>
        <w:rPr>
          <w:b/>
        </w:rPr>
        <w:t>E. 2</w:t>
      </w:r>
    </w:p>
    <w:p>
      <w:r>
        <w:t>Aufl. 1996, N. 2 zu Art. 12 EMRK ). Aus dem Prinzip der Verhältnismässigkeit ergibt sich zudem, dass das öffentliche Interesse am Verbot gegenüber dem Interesse an der Eheschliessung nicht klar unterlegen sein darf (Haefliger/Schürmann, Die Europäische Menschenrechtskonvention und die Schweiz, 2. Aufl. 1999, S. 319). c) Die Voraussetzungen der Wahrung des Kerngehalts sowie der gesetzlichen Grundlage sind vorliegend offensichtlich erfüllt. Zu prüfen ist, ob sich das für Stiefverhältnisse statuierte Eheverbot auf allgemein anerkannte Gründe des öffentlichen Interesses stützt und ob dieses das Interesse der Beschwerdeführenden an der Eheschliessung überwiegt. 4.-a) Bei der Beibehaltung des Eheverbots für Stiefverhältnisse stand die Wahrung des Familienfriedens im Vordergrund. Zwar hat die Familie viele ihrer früheren Funktionen verloren: so stellt sie heute kaum mehr eine Produktionsgemeinschaft dar, die Wissensvermittlung und die Berufsvorbereitung beim heranwachsenden Kind sind ihr weitgehend entzogen, und auch die Aufgabe, für kranke, schwache oder alte Familienmitglieder zu sorgen, hat sie teilweise an andere Institutionen abgetreten. Als ein Bezirk besonders enger emotionaler Bindungen fallen ihr heute jedoch vornehmlich die folgenden zwei Aufgaben zu: die primäre Sozialisation des Kindes und die gewissermassen private Verarbeitung von Konflikten, die im gesellschaftlichen Bereich, besonders im Beruf, auftreten (Stratenwerth, Inzest und Strafrecht, in: Familienrecht im Wandel, 1976, S. 301 ff., S. 311). Angesichts dieser Funktionen ist die Stabilität der Familie möglichst zu wahren. Eine Geschlechtsverbindung zwischen Stiefeltern und Stiefkind würde nicht nur die Ehe, auf der die Stieffamilie gründet, destabilisieren, sondern auch die weiteren Beziehungen unter den Familienmitgliedern - etwa zwischen leiblichem Elternteil und Kind sowie zwischen Geschwistern - erheblich gefährden (Hürlimann, Die Eheschliessungsverbote zwischen Verwandten und Verschwägerten, Diss. Bern 1987, S. 147 und S. 151). b) Von erheblicher Bedeutung ist ferner der Schutz der freien Entfaltung und der sexuellen Integrität des Stiefkindes: Die Familie bildet nach wie vor regelmässig den engsten ursprünglichsten Rahmen des Zusammenlebens, der Rahmen, in dem Kinder ihr Leben beginnen und heranwachsen. Sie soll deshalb von sexuellen Beziehungen und erotischen Spannungen freigehalten werden. Entsprechend steht die Verletzung der sexuellen Integrität des Abhängigen unter Strafe ( Art. 188 StGB ; Stratenwerth, a.a.O., S. 311). Zivilrechtlich findet das Stiefverhältnis Ausdruck in der subsidiären elterlichen Sorge des Stiefelters: Gemäss Art. 299 ZGB hat er seinem Ehegatten in der Ausübung der elterlichen Sorge gegenüber dessen Kinder in angemessener Weise beizustehen und ihn zu vertreten, wenn es die Umstände erfordern. Damit befindet sich der Stiefelternteil regelmässig in einer Autoritätsstellung und das Stiefkind in einem Abhängigkeitsverhältnis. Es gilt demnach zu verhindern, dass dieses faktische Eltern-Kind-Verhältnis nahtlos in ein Paarverhältnis übergeht (Hegnauer/Breitschmid, Grundriss des Eherechts, 4. Aufl. 2000, Rz. 4.13; Muscheler, a.a.O., S. 1145). c) Der Umstand, dass das schweizerische Parlament anlässlich der mit Bundesgesetz vom 26. Juni 1998 verabschiedeten Revision des Zivilgesetzbuches zwar weitergehende Eheverbote abgeschafft, am Eheverbot für Stiefverhältnisse aber ohne jede Diskussion festgehalten hat, deutet daraufhin, dass das Verbot und die dafür genannten Gründe in der Schweiz nach wie vor allgemein anerkannt sind (AB 1996 S 750 f., 1997 N 2670). Seine Geltung wird denn auch in der schweizerischen Lehre - zumindest für die Fälle, in welchen das Stiefkindverhältnis während der Unmündigkeit begründet wurde, - nicht in Frage gestellt (Heussler, Basler Kommentar, 1996, N. 7 zu aArt. 100 ZGB; Hegnauer/Breitschmid, a.a.O., Rz. 4.13; Werro, Concubinage, mariage et démariage, 2000, N. 284 ff.). d) Die Ehe zwischen Stiefeltern und Stiefkind ist im Übrigen auch in zahlreichen anderen europäischen Ländern verboten, nämlich in Belgien, Finnland, Frankreich, Griechenland, Grossbritannien, Italien, Luxemburg, Polen, Portugal, Serbien, der Türkei und Ungarn. Zwar sieht die Mehrheit dieser Länder die Möglichkeit eines Dispenses vor, doch wird dieser lediglich unter einschränkenden Voraussetzungen erteilt. So sind beispielsweise in Grossbritannien Schwäger- und Stiefverhältnisse grundsätzlich einem Dispens zugänglich, davon ausgenommen sind aber die Fälle, in welchen das Stiefkind - wie bei den Beschwerdeführenden - vor Erreichen seines achtzehnten Lebensjahres mit dem Stiefelter in häuslicher Gemeinschaft gelebt hat. Kein Eheverbot für Stiefverhältnisse kennen demgegenüber beispielsweise Deutschland, die Niederlande, Norwegen, Österreich, das Fürstentum Liechtenstein, Schweden und Spanien (Bergmann/Ferid, Internationales Ehe- und Kindschaftsrecht: Belgien, 138. Lieferung, S. 51 Art. 161 ff.; Deutschland, 137. Lieferung, S. 49, §§ 1306 ff.; Finnland, 103. Lieferung, S. 22; Frankreich, 122. Lieferung, S. 68 f., Art. 161 ff.; Griechenland, 82. Lieferung, S. 17, Art. 1357; Grossbritannien, 113. Lieferung, S. 171 Art. 1 ff.; Italien, 142. Lieferung, S. 54 f., Art. 87; Fürstentum Liechtenstein, 118. Lieferung, S. 47, Art. 12 ff.; Luxemburg, 109. Lieferung, S. 53, Art. 161 ff.; Niederlande, 123. Lieferung, S. 63 f. Fn. 33; Norwegen, 138. Lieferung, §§ 3 f.; Österreich, 116. Lieferung, S. 141, Art. 4 ff.; Polen, 139. Lieferung, S. 40 Art. 14 § 1; Portugal, 132. Lieferung, S. 49, Art. 1602 lit. c; Schweden, 110. Lieferung, S. 22c, §§ 1 ff.; Spanien, 132. Lieferung, Art. 44 ff.; Türkei, 123. Lieferung, S. 24, Art. 92 Ziff. 2; Ungarn, 143. Lieferung, S. 37, § 8 Abs. 1 lit. d). e) Indem die Ehe zwischen Stiefeltern und Stiefkind dauernd ausgeschlossen ist, wird das Verhältnis zwischen ihnen ganz auf die Ebene der familiären Beziehung gestellt und jeder Zweideutigkeit enthoben. Auf diesem Weg trägt das Eheverbot zur Aufrechterhaltung intakter Familienbeziehungen bei: Es ermöglicht dem Stiefkind, im Verhältnis zum Stiefelter Zuneigung und Identifikation zu entwickeln, ohne dass es Gefahr läuft, sexuell ausgebeutet zu werden (Werro, a.a.O., S. 855; Hegnauer, "Soll das Ehehindernis der Schwägerschaft beibehalten werden?, in: ZZW 1993 S. 86). Entgegen der Auffassung der Beschwerdeführenden kann auch der Umstand, dass sich in Einzelfällen wie dem vorliegenden dennoch eine sexuelle Beziehung entwickelt, nichts daran ändern, dass das Verbot sachlich gerechtfertigt ist. 5.-Die Zulässigkeit eines Grundrechtseingriffs setzt ferner voraus, dass der angestrebte Zweck im konkreten Fall in einem vernünftigen Verhältnis zu den zu seiner Erreichung notwendigen Grundrechtsbeschränkungen steht ( BGE 117 Ia 472 E. 3g mit Hinweisen). a) aa) Wird das Gesuch der Beschwerdeführenden abgewiesen, so können sie nicht heiraten. Sie werden ihre Beziehung voraussichtlich für deren ganze Dauer in der Form eines Konkubinats fortführen müssen. Dabei ist allerdings zu berücksichtigen, dass das Konkubinat heute in unserer Gesellschaft eine weit verbreitete Form des Zusammenlebens darstellt, welche die Beschwerdeführenden schon seit Jahren freiwillig praktizieren. Rechtlich ist das Konkubinat der Ehe nur in einzelnen Bereichen gleichgestellt. Dies wirkt sich aber nicht in jedem Fall zum Nachteil der Konkubinatspartner aus (Werro, a.a.O., N. 115 ff. und beispielsweise N. 139). Im Übrigen besteht teilweise die Möglichkeit, die Rechtsverhältnisse im Konkubinat durch Vereinbarungen jenen in der Ehe anzugleichen: so können unverheiratete Eltern beispielsweise gemeinsam die elterliche Sorge beantragen ( Art. 298a Abs. 1 ZGB ). Sozialversicherungsrechtlich sind Verheiratete im Hinblick auf die Witwenrente besser gestellt. Sie sind aber im Bereich der Altersrente gegenüber Konkubinatspartnern benachteiligt, ist doch die Ehepaarrente tiefer als die Summe von zwei Einzelrenten. Der Eingriff in das Recht der Beschwerdeführenden auf Eheschliessung ist damit zwar von Dauer, aber nicht von einer ausserordentlichen Schwere. bb) Unter dem Gesichtspunkt der Verhältnismässigkeit berufen sich die Beschwerdeführenden auch auf die Interessen ihrer Kinder. Im schweizerischen Zivilrecht sind die ausserehelichen Kinder den ehelichen vollkommen gleichgestellt. Dass ein Kind nicht ehelich ist, kommt heute häufig vor und erscheint nicht mehr als etwas besonderes. Bei einer grossen Anzahl ehelicher Kinder wird überdies die Ehe der Eltern im Lauf ihrer Kindheit geschieden, so dass sich diese in einer Situation befinden, die jener der ausserehelichen Kinder sehr ähnlich ist. Unter diesen Umständen sind heute weder spezielle Vorurteile Dritter noch eine besondere soziale Benachteiligung zu erwarten, wie sie der Europäische Gerichtshof für Menschenrechte vor einigen Jahren noch befürchtete (Urteil i.S. Fahrni c. Schweiz vom 18. Dezember 1987, Serie A, Bd. 128, Ziff. 36). Im Übrigen dürften auch die Beschwerdeführenden nicht von einer erheblichen Benachteiligung ausserehelicher Kinder ausgegangen sein, andernfalls hätten sie ihre Kinder nicht ausserhalb der Ehe gezeugt. b) Dem Recht der Beschwerdeführenden auf Eheschliessung und Familie stehen hochrangige Rechtsgüter gegenüber: der Schutz des Familienfriedens sowie die Gewährleistung der freien Entfaltung und der sexuellen Integrität des unmündigen bzw. abhängigen Stiefkindes. Käme das Bundesgericht zum Schluss, dass ein Eheverbot vorliegend gegen das Grundrecht der Beschwerdeführenden verstösst, würde dies nicht nur zur Nichtanwendung von Art. 95 Abs. 1 Ziff. 2 ZGB im vorliegenden Fall führen; ein solcher Entscheid hätte vielmehr die generelle künftige Nichtanwendung dieses Eheverbots zur Folge. c) Unter diesen Umständen geht das Bundesgericht davon aus, dass der Integration des Kindes in die Stieffamilie und seiner freien Entwicklung und Entfaltung ein allgemein anerkanntes öffentliches Interesse zukommt, das die Grundrechtsbeschränkung auf Seiten der Beschwerdeführenden rechtfertigt. Die Anwendung von Art. 95 Abs. 1 Ziff. 2 ZGB verstösst demnach nicht gegen Art. 12 EMRK , weshalb die Beschwerde abzuweisen ist, soweit darauf eingetreten werden kann. 6.-Bei diesem Ausgang des Verfahrens werden die Beschwerdeführenden gebührenpflichtig ( Art. 156 Abs. 1 OG ). Sie haben jedoch ein Gesuch um unentgeltliche Rechtspflege gestellt. Aufgrund ihrer Angaben sind sie bedürftig. Das Bundesgericht hat sich zu den von ihnen aufgeworfenen Rechtsfragen bis anhin noch nicht geäussert. Es kann deshalb nicht gesagt werden, es hätten der Beschwerde von vornherein keine ausreichenden Erfolgschancen eingeräumt werden können ( Art. 152 Abs. 1 OG ). Ihr Gesuch um unentgeltliche Rechtspflege ist somit zu bewilligen, und es ist ihnen der von ihnen beantragte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