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5A.13/2006 vom 4. Juli 2006</w:t>
      </w:r>
    </w:p>
    <w:p>
      <w:r>
        <w:t>Bundesgericht, 2006-07-04, DE</w:t>
      </w:r>
    </w:p>
    <w:p>
      <w:r>
        <w:rPr>
          <w:b/>
        </w:rPr>
        <w:t xml:space="preserve">Quelle: </w:t>
      </w:r>
      <w:r>
        <w:t>https://mcp.opencaselaw.ch/entscheid/bger_5A.13_2006</w:t>
      </w:r>
    </w:p>
    <w:p>
      <w:r>
        <w:t>FR: TF 5A.13/2006 du 4 juillet 2006</w:t>
      </w:r>
    </w:p>
    <w:p>
      <w:r>
        <w:t>IT: TF 5A.13/2006 del 4 luglio 2006</w:t>
      </w:r>
    </w:p>
    <w:p>
      <w:pPr>
        <w:pStyle w:val="Heading2"/>
      </w:pPr>
      <w:r>
        <w:t>Regeste</w:t>
      </w:r>
    </w:p>
    <w:p>
      <w:r>
        <w:t>Schadenersatzklage nach Art. 5 SchkKG | Schuldbetreibungs- und Konkursrecht</w:t>
      </w:r>
    </w:p>
    <w:p>
      <w:pPr>
        <w:pStyle w:val="Heading2"/>
      </w:pPr>
      <w:r>
        <w:t>Erwägungen</w:t>
      </w:r>
    </w:p>
    <w:p>
      <w:r>
        <w:rPr>
          <w:b/>
        </w:rPr>
        <w:t>E. 1.1</w:t>
      </w:r>
    </w:p>
    <w:p>
      <w:r>
        <w:t>Gegen kantonal letztinstanzliche Verantwortlichkeitsentscheide gemäss Art. 5 SchKG ist die Verwaltungsgerichtsbeschwerde gegeben (dazu grundsätzlich: BGE 126 III 431 E. 2c, bestätigt in 5A.14/2002 vom 10. Dezember 2002 in Pra 2003 Nr. 125 S. 668). Das Verwaltungsgericht hat denn auch in seiner Rechtsmittelbelehrung ausdrücklich auf die bundesgerichtliche Praxis verwiesen, was der anwaltlich vertretene Beschwerdeführer offenbar übersehen hat. Seine als "Berufung/Verwaltungsgerichtsbeschwerde" bezeichnete Eingabe wird demzufolge als Verwaltungsgerichtsbeschwerde entgegen genommen.</w:t>
      </w:r>
    </w:p>
    <w:p>
      <w:r>
        <w:rPr>
          <w:b/>
        </w:rPr>
        <w:t>E. 1.2</w:t>
      </w:r>
    </w:p>
    <w:p>
      <w:r>
        <w:t>Der Beschwerdeführer hat in gleicher Sache auch eine staatsrechtliche Beschwerde eingereicht. Entsprechend deren subsidiärer Natur ist zunächst zu prüfen, ob die Verwaltungsgerichtsbeschwerde offensteht ( BGE 119 Ib 380 E. 1a).</w:t>
      </w:r>
    </w:p>
    <w:p>
      <w:r>
        <w:rPr>
          <w:b/>
        </w:rPr>
        <w:t>E. 2</w:t>
      </w:r>
    </w:p>
    <w:p>
      <w:r>
        <w:t>Der Beschwerdeführer macht im Wesentlichen die Verletzung der Gewährleistungsregeln des Zessionsrechts ( Art. 171 OR ) geltend. Er ist zudem der Ansicht, die Forderung der B.________ AG nicht aufgrund von Art. 260 SchKG , sondern im Freihandverkauf gemäss Art. 256 SchKG erworben zu haben.</w:t>
      </w:r>
    </w:p>
    <w:p>
      <w:r>
        <w:rPr>
          <w:b/>
        </w:rPr>
        <w:t>E. 2.1</w:t>
      </w:r>
    </w:p>
    <w:p>
      <w:r>
        <w:t>Das Verwaltungsgericht ist zum Schluss gekommen, dass allfällige Haftungsansprüche des Beschwerdeführers gegen den Kanton verjährt seien. Dieser habe am 19. Februar 2004 seine vor dem Gerichtskreis V Burgdorf-Fraubrunnen eingereichte Klage zurückgezogen. Spätestens zu diesem Zeitpunkt sei ihm ein allfälliger Schaden bekannt gewesen. Allenfalls sei dies schon früher der Fall gewesen, nämlich als der Beschwerdeführer im Februar 2002 mit seinem Rechtsöffnungsbegehren gegen die B.________ AG vor der zuständigen Instanz in Zug nicht durchgedrungen sei. Dies möge aber offen bleiben. Gemäss Art. 6 SchKG verjähre der Anspruch auf Schadenersatz in einem Jahr von dem Tag weg, an welchem der Geschädigte von der Schädigung Kenntnis erlangt habe. Die am 23. September 2005 eingereichte Klage erweise sich daher als verspätet. Zwar habe der Beschwerdeführer bereits mit seinem Schreiben vom 11. Februar 2005 seine Ansprüche beim Finanzdepartement angemeldet. Damit habe er aber die laufende Verjährung gemäss der Praxis zu Art. 135 OR nicht unterbrochen. Zwar sei das Vorverfahren nach § 11 des Gesetzes über die Haftung des Staates, der Gemeinden der öffentlich-rechtlichen Körperschaften und Anstalten und die Verantwortlichkeit der Behörden, Beamten und öffentlichen Angestellten und Arbeiter (Verantwortlichkeitsgesetzes; VG) unnötig gewesen, indes hätte das Departement das Begehren in Anwendung von § 6 des Gesetzes über den Rechtsschutz in Verwaltungssachen (VRG) als Klage an das Verwaltungsgericht überweisen müssen. Der Beschwerdeführer hätte jedoch gleichwohl rechtzeitig klagen können. Gemäss der kantonalen Praxis sei die rein vorsorgliche Anhebung einer Klage zur Abwendung von Verjährungsfolgen zulässig. Ein Vorladungsbegehren hätte genügt. Selbst wenn die Verjährung nicht anzunehmen wäre, so das Verwaltungsgericht, so sei die Qualifikation des strittigen Rechtsgeschäftes aufgrund der Aktenlage fraglich. Entweder liege ein Fall von Art. 260 SchKG vor, womit der Staat nicht hafte, da nur bestrittene Forderungen abgetreten würden. Zudem sei dem Beschwerdeführer durch diesen Vorgang einzig die Prozessführungsbefugnis verliehen worden. Oder es handle sich um eine schuldrechtliche Zession, womit der Zessionar bei Entgeltlichkeit für den Bestand der Forderung, nicht aber für die Bonität des Schuldners hafte ( Art. 171 OR ). Da sich der Beschwerdeführer der Unsicherheit über den Bestand der Forderung bewusst gewesen sei, habe er stillschweigend auf die Gewährleistung verzichtet.</w:t>
      </w:r>
    </w:p>
    <w:p>
      <w:r>
        <w:rPr>
          <w:b/>
        </w:rPr>
        <w:t>E. 2.2</w:t>
      </w:r>
    </w:p>
    <w:p>
      <w:r>
        <w:t>Beruht ein angefochtener Entscheid - wie hier - auf mehreren Begründungen, so hat der Beschwerdeführer alle anzufechten und zwar mit dem zutreffenden Rechtsmittel, sonst tritt das Bundesgericht auf seine Vorbringen nicht ein. Diese für das Rechtsmittel der Berufung entwickelte Praxis ( BGE 131 III 595 E. 2.2 mit Hinweisen) will den blossen Streit um Entscheidgründe verhindern, die für sich allein keine Beschwer bedeuten und das Rechtsmittel unzulässig machen ( BGE 111 II 398 E. 2b). In der Verwaltungsgerichtsbeschwerde wird praxisgemäss nur eine minimale Sachbezogenheit der Begründung verlangt. Tritt die Vorinstanz aus formellen Gründen auf ein Begehren nicht ein, so hat sich der Beschwerdeführer grundsätzlich damit auseinander zu setzen und kann sich nicht mit materiellen Ausführungen begnügen ( BGE 118 Ib 134 E. 2; 123 V 335 E. 1b). Enthält der angefochtene Entscheid hingegen eine Haupt- und eine Eventualbegründung, so hat sich der Beschwerdeführer mit beiden auseinander zu setzen, da das Bundesgericht seinem Urteil auch andere Gründe als die im angefochtenen Entscheid zugrunde legen kann (Peter Karlen, Verwaltungsgerichtsbeschwerde, in: Prozessieren vor Bundesgericht, 2. Aufl., N. 3.79 S. 115 mit Hinweis auf BGE 118 Ib 26 E. 2b).</w:t>
      </w:r>
    </w:p>
    <w:p>
      <w:r>
        <w:rPr>
          <w:b/>
        </w:rPr>
        <w:t>E. 2.3</w:t>
      </w:r>
    </w:p>
    <w:p>
      <w:r>
        <w:t>Im vorliegenden Fall beschränkt sich der Beschwerdeführer auf rechtliche Ausführungen zur Haftungsgrundlage. Zur Frage der Verjährung nimmt er hingegen keine Stellung. Sollte das Bundesgericht zum Schluss kommen, dass dem Beschwerdeführer aufgrund eines widerrechtlichen Verhaltens des Konkursbeamten bei der Ausübung seiner Tätigkeit ein Schaden entstanden ist, für welchen der Kanton gemäss Art. 5 SchKG einzustehen hat, wäre noch die Verjährung zu prüfen. Mangels entsprechender Vorbringen könnte diese Frage jedoch nicht beantwortet werden. Damit besteht kein aktuelles Interesse, im vorliegenden Fall die Haftungsvoraussetzungen zu prüfen. Angesichts dieser mangelhaften Begründung kann auf die Verwaltungsgerichtsbeschwerde insgesamt nicht eingetreten werden.</w:t>
      </w:r>
    </w:p>
    <w:p>
      <w:r>
        <w:rPr>
          <w:b/>
        </w:rPr>
        <w:t>E. 3</w:t>
      </w:r>
    </w:p>
    <w:p>
      <w:r>
        <w:t>Ausgangsgemäss trägt der Beschwerdeführer die Verfahrenskosten ( Art. 156 Abs. 1 OG ). Dem Kanton wird praxisgemäss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